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E9706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E97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E44" w:rsidRDefault="00CD7E44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</w:p>
    <w:p w:rsidR="002E63A1" w:rsidRDefault="00685C75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  <w:r w:rsidRPr="00685C75">
        <w:t xml:space="preserve">Návrh </w:t>
      </w:r>
      <w:r w:rsidR="002A0BEE">
        <w:t xml:space="preserve">zákona, </w:t>
      </w:r>
      <w:r w:rsidR="002A0BEE" w:rsidRPr="002A0BEE">
        <w:t xml:space="preserve">ktorým sa mení a dopĺňa zákon č. 185/2015 Z. z. Autorský zákon v znení zákona č. 125/2016 </w:t>
      </w:r>
      <w:r w:rsidR="00310F8A">
        <w:t xml:space="preserve">Z. z. </w:t>
      </w:r>
      <w:r w:rsidR="00AE3CE6">
        <w:t xml:space="preserve">a ktorým sa menia a dopĺňajú niektoré zákony </w:t>
      </w:r>
      <w:r w:rsidR="002A0BEE" w:rsidRPr="002A0BEE">
        <w:t>(ďalej len „návrh zákona“)</w:t>
      </w:r>
      <w:r w:rsidRPr="00685C75">
        <w:t xml:space="preserve"> predkladá Ministerstvo kultúry Slovenskej republiky  na </w:t>
      </w:r>
      <w:r w:rsidRPr="0004177F">
        <w:t xml:space="preserve">základe </w:t>
      </w:r>
      <w:r w:rsidR="002D0C48" w:rsidRPr="0004177F">
        <w:t xml:space="preserve">úlohy vyplývajúcej z  uznesenia vlády Slovenskej republiky č. </w:t>
      </w:r>
      <w:r w:rsidR="0004177F">
        <w:t>573/2017</w:t>
      </w:r>
      <w:r w:rsidR="0004177F" w:rsidRPr="00020AE3">
        <w:t xml:space="preserve"> </w:t>
      </w:r>
      <w:r w:rsidR="0004177F" w:rsidRPr="00020AE3">
        <w:rPr>
          <w:bCs/>
        </w:rPr>
        <w:t xml:space="preserve">k Plánu legislatívnych úloh vlády Slovenskej republiky na rok </w:t>
      </w:r>
      <w:r w:rsidR="0004177F" w:rsidRPr="007E3BAB">
        <w:rPr>
          <w:bCs/>
        </w:rPr>
        <w:t>2018</w:t>
      </w:r>
      <w:r w:rsidR="006A6C42">
        <w:rPr>
          <w:bCs/>
        </w:rPr>
        <w:t xml:space="preserve"> a </w:t>
      </w:r>
      <w:r w:rsidR="006A6C42" w:rsidRPr="0004177F">
        <w:t xml:space="preserve">z  uznesenia vlády Slovenskej republiky č. </w:t>
      </w:r>
      <w:r w:rsidR="006A6C42">
        <w:t>111/2018</w:t>
      </w:r>
      <w:r w:rsidR="006A6C42" w:rsidRPr="00020AE3">
        <w:t xml:space="preserve"> </w:t>
      </w:r>
      <w:r w:rsidR="006A6C42" w:rsidRPr="00020AE3">
        <w:rPr>
          <w:bCs/>
        </w:rPr>
        <w:t>k</w:t>
      </w:r>
      <w:r w:rsidR="006A6C42">
        <w:rPr>
          <w:bCs/>
        </w:rPr>
        <w:t xml:space="preserve"> </w:t>
      </w:r>
      <w:r w:rsidR="006A6C42" w:rsidRPr="006A6C42">
        <w:rPr>
          <w:bCs/>
        </w:rPr>
        <w:t>Návrh</w:t>
      </w:r>
      <w:r w:rsidR="006A6C42">
        <w:rPr>
          <w:bCs/>
        </w:rPr>
        <w:t>u</w:t>
      </w:r>
      <w:r w:rsidR="006A6C42" w:rsidRPr="006A6C42">
        <w:rPr>
          <w:bCs/>
        </w:rPr>
        <w:t xml:space="preserve"> na určenie gestorských ústredných orgánov štátnej správy a niektorých orgánov verejnej moci zodpovedných za prebratie a aplikáciu smerníc</w:t>
      </w:r>
      <w:r w:rsidR="002D0C48" w:rsidRPr="007E3BAB">
        <w:t>.</w:t>
      </w:r>
    </w:p>
    <w:p w:rsidR="00685C75" w:rsidRDefault="00685C75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</w:p>
    <w:p w:rsidR="002E63A1" w:rsidRDefault="001215F3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  <w:r>
        <w:t>Predkladaný návrh</w:t>
      </w:r>
      <w:r w:rsidR="00583A13" w:rsidRPr="00583A13">
        <w:t xml:space="preserve"> </w:t>
      </w:r>
      <w:r w:rsidR="00BC0FC5">
        <w:t xml:space="preserve">zákona </w:t>
      </w:r>
      <w:r w:rsidR="00583A13" w:rsidRPr="00583A13">
        <w:t xml:space="preserve">úplne transponuje </w:t>
      </w:r>
      <w:r w:rsidR="00583A13">
        <w:t>smernicu</w:t>
      </w:r>
      <w:r w:rsidR="00583A13" w:rsidRPr="008E4E05">
        <w:t xml:space="preserve"> Európskeho parlamentu a</w:t>
      </w:r>
      <w:r w:rsidR="00013B28">
        <w:t> </w:t>
      </w:r>
      <w:r w:rsidR="00583A13" w:rsidRPr="008E4E05">
        <w:t>Rady</w:t>
      </w:r>
      <w:r w:rsidR="00013B28">
        <w:t xml:space="preserve"> (EÚ)</w:t>
      </w:r>
      <w:r w:rsidR="00583A13" w:rsidRPr="008E4E05">
        <w:t xml:space="preserve"> 2017/1564 z 13. septembra 2017  o určitých povolených spôsoboch použitia určitých diel a iných predmetov ochrany chránených autorským právom a s ním súvisiacimi právami v prospech osôb, ktoré sú nevidiace, zrakovo postihnuté alebo postihnuté inou poruchou čítania, a o zmene smernice 2001/29/ES o zosúladení niektorých aspektov autorských práv a s nimi súvisiacich práv v informačnej spoločnosti</w:t>
      </w:r>
      <w:r w:rsidR="001D7FDD">
        <w:t xml:space="preserve"> (ďalej len „smernica“)</w:t>
      </w:r>
      <w:r w:rsidR="00583A13" w:rsidRPr="008E4E05">
        <w:t>.</w:t>
      </w:r>
      <w:r w:rsidR="00BE735C">
        <w:t xml:space="preserve"> </w:t>
      </w:r>
      <w:r w:rsidR="003740CD">
        <w:t>Smernica je odvodená z </w:t>
      </w:r>
      <w:proofErr w:type="spellStart"/>
      <w:r w:rsidR="003740CD">
        <w:t>Marakéšskej</w:t>
      </w:r>
      <w:proofErr w:type="spellEnd"/>
      <w:r w:rsidR="003740CD">
        <w:t xml:space="preserve"> zmluvy o uľahčení prístupu k uverejneným dielam pre osoby nevidiace, zrakovo postihnuté alebo postihnuté inou poruchou čítania, ktorá bola prijatá Svetovou organizáciou duševného vlastníctva (WIPO). </w:t>
      </w:r>
      <w:r w:rsidR="00BE735C" w:rsidRPr="00BE735C">
        <w:t xml:space="preserve">Cieľom </w:t>
      </w:r>
      <w:r w:rsidR="00852283">
        <w:t>prekladaného návrhu</w:t>
      </w:r>
      <w:r w:rsidR="00BE735C" w:rsidRPr="00BE735C">
        <w:t xml:space="preserve"> je zlepšiť dostupnosť diel a iných predmetov ochrany (kníh, novín, časopisov, </w:t>
      </w:r>
      <w:proofErr w:type="spellStart"/>
      <w:r w:rsidR="00BE735C" w:rsidRPr="00BE735C">
        <w:t>audiokníh</w:t>
      </w:r>
      <w:proofErr w:type="spellEnd"/>
      <w:r w:rsidR="00BE735C" w:rsidRPr="00BE735C">
        <w:t xml:space="preserve"> atď.) v prístupných formátoch pre osoby nevidiace, </w:t>
      </w:r>
      <w:r w:rsidR="00BC0FC5">
        <w:t xml:space="preserve">osoby </w:t>
      </w:r>
      <w:r w:rsidR="00BE735C" w:rsidRPr="00BE735C">
        <w:t>so zrakovým postihnutím alebo p</w:t>
      </w:r>
      <w:r w:rsidR="00E97060">
        <w:t xml:space="preserve">ostihnuté inou poruchou čítania, a to </w:t>
      </w:r>
      <w:r w:rsidR="00BE735C" w:rsidRPr="00BE735C">
        <w:t xml:space="preserve">prostredníctvom zavedenia </w:t>
      </w:r>
      <w:r w:rsidR="00852283">
        <w:t>novej zákonnej</w:t>
      </w:r>
      <w:r w:rsidR="00E97060">
        <w:t xml:space="preserve"> výnimky z</w:t>
      </w:r>
      <w:r w:rsidR="00BE735C" w:rsidRPr="00BE735C">
        <w:t xml:space="preserve"> autorského práva a práv súvisiacich s autorským právom, ktorú môžu využívať </w:t>
      </w:r>
      <w:r w:rsidR="00852283">
        <w:t>na jednej strane osoby návrhom zákona definované ako osoby s poruchou čítania</w:t>
      </w:r>
      <w:r w:rsidR="00BE735C" w:rsidRPr="00BE735C">
        <w:t xml:space="preserve">, ale aj organizácie starajúce sa o napĺňanie ich potrieb na neziskovom základe – </w:t>
      </w:r>
      <w:r w:rsidR="003740CD">
        <w:t xml:space="preserve">v zmysle návrhu zákona </w:t>
      </w:r>
      <w:r w:rsidR="00BE735C" w:rsidRPr="00BE735C">
        <w:t xml:space="preserve">tzv. </w:t>
      </w:r>
      <w:r w:rsidR="003740CD">
        <w:t>poskytovatelia služieb pre osoby s poruchou čítania</w:t>
      </w:r>
      <w:r w:rsidR="00BE735C" w:rsidRPr="00BE735C">
        <w:t xml:space="preserve">. </w:t>
      </w:r>
      <w:r w:rsidR="00DD1585" w:rsidRPr="00BE735C">
        <w:t xml:space="preserve">Súčasne </w:t>
      </w:r>
      <w:r w:rsidR="00DD1585">
        <w:t>návrh zákona</w:t>
      </w:r>
      <w:r w:rsidR="00DD1585" w:rsidRPr="00BE735C">
        <w:t xml:space="preserve"> reguluje </w:t>
      </w:r>
      <w:r w:rsidR="00DD1585">
        <w:t>aj obeh a</w:t>
      </w:r>
      <w:r w:rsidR="00DD1585" w:rsidRPr="00BE735C">
        <w:t xml:space="preserve"> výmenu rozmnoženín diel a iných predmetov ochrany v prístupných formátoch na vnútornom trhu Európskej únie</w:t>
      </w:r>
      <w:r w:rsidR="00BC0FC5">
        <w:t xml:space="preserve">, ako </w:t>
      </w:r>
      <w:r w:rsidR="00DD1585">
        <w:t>aj na medzinárodnej úrovni</w:t>
      </w:r>
      <w:r w:rsidR="00BC0FC5">
        <w:t>, čím sa zohľadňuje aj nariadenie Európskeh</w:t>
      </w:r>
      <w:r w:rsidR="00013B28">
        <w:t>o parlamentu a Rady (EÚ) 2017/1563</w:t>
      </w:r>
      <w:r w:rsidR="00BC0FC5">
        <w:t xml:space="preserve"> o cezhraničnej výmene rozmnoženín určitých diel a iných predmetov ochrany chránených autorským právom a s ním súvisiacimi právami v prístupných formátoch v prospech osôb, ktoré sú nevidiace, zrakovo postihnuté alebo postihnuté inou poruchou čítania, medzi Úniou a tretími krajinami.</w:t>
      </w:r>
    </w:p>
    <w:p w:rsidR="001215F3" w:rsidRDefault="001215F3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</w:p>
    <w:p w:rsidR="001215F3" w:rsidRDefault="001215F3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  <w:r>
        <w:t xml:space="preserve">Návrh zákona obsahuje aj riešenie niekoľkých problémov, ktoré vyplynuli z aplikačnej praxe, ako aj </w:t>
      </w:r>
      <w:proofErr w:type="spellStart"/>
      <w:r>
        <w:t>legislatívno</w:t>
      </w:r>
      <w:proofErr w:type="spellEnd"/>
      <w:r>
        <w:t xml:space="preserve"> – techn</w:t>
      </w:r>
      <w:r w:rsidR="00DF645C">
        <w:t>ické</w:t>
      </w:r>
      <w:r>
        <w:t xml:space="preserve"> </w:t>
      </w:r>
      <w:r w:rsidR="00382196">
        <w:t>úprav</w:t>
      </w:r>
      <w:r w:rsidR="00DF645C">
        <w:t>y</w:t>
      </w:r>
      <w:r>
        <w:t xml:space="preserve"> vi</w:t>
      </w:r>
      <w:r w:rsidR="00DF645C">
        <w:t>acerých ustanovení, ktorých cieľom je zjednodušenie aplikácie ustanovení Autorského zákona, ako aj ich lepšia zrozumiteľnosť.</w:t>
      </w:r>
    </w:p>
    <w:p w:rsidR="00C554E7" w:rsidRDefault="00C554E7" w:rsidP="00E97060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</w:p>
    <w:p w:rsidR="00C554E7" w:rsidRDefault="00C554E7" w:rsidP="00053D62">
      <w:pPr>
        <w:pStyle w:val="Normlnywebov"/>
        <w:spacing w:before="0" w:beforeAutospacing="0" w:after="0" w:afterAutospacing="0" w:line="276" w:lineRule="auto"/>
        <w:ind w:firstLine="720"/>
        <w:jc w:val="both"/>
        <w:divId w:val="1046373808"/>
      </w:pPr>
      <w:r>
        <w:t xml:space="preserve">Návrhom zákona sa ruší </w:t>
      </w:r>
      <w:r>
        <w:rPr>
          <w:color w:val="000000"/>
        </w:rPr>
        <w:t>správny poplatok za zápis do zoznamu periodickej tlače a za zápis zmeny v zozname periodickej tlače pri zmene vydavateľa periodickej tlače alebo názvu periodickej tlače.</w:t>
      </w:r>
      <w:r w:rsidRPr="00C554E7">
        <w:rPr>
          <w:color w:val="000000"/>
        </w:rPr>
        <w:t xml:space="preserve"> </w:t>
      </w:r>
      <w:r>
        <w:rPr>
          <w:color w:val="000000"/>
        </w:rPr>
        <w:t xml:space="preserve">Návrhom zákona sa takisto </w:t>
      </w:r>
      <w:r w:rsidR="00D5650C">
        <w:rPr>
          <w:color w:val="000000"/>
        </w:rPr>
        <w:t>upravuje</w:t>
      </w:r>
      <w:r>
        <w:rPr>
          <w:color w:val="000000"/>
        </w:rPr>
        <w:t xml:space="preserve"> tlačový zákon v časti týkajúcej sa výmazu zo zoznamu periodickej tlače, a to z dôvodu požiadaviek aplikačnej praxe.</w:t>
      </w:r>
    </w:p>
    <w:p w:rsidR="00D46119" w:rsidRPr="00F01021" w:rsidRDefault="00D46119" w:rsidP="00053D62">
      <w:pPr>
        <w:pStyle w:val="Normlnywebov"/>
        <w:spacing w:before="0" w:beforeAutospacing="0" w:after="0" w:afterAutospacing="0" w:line="276" w:lineRule="auto"/>
        <w:jc w:val="both"/>
        <w:divId w:val="1046373808"/>
        <w:rPr>
          <w:highlight w:val="yellow"/>
        </w:rPr>
      </w:pPr>
    </w:p>
    <w:p w:rsidR="00BC3B04" w:rsidRDefault="00B56724" w:rsidP="00053D62">
      <w:pPr>
        <w:spacing w:after="0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sk-SK"/>
        </w:rPr>
      </w:pPr>
      <w:r w:rsidRPr="00B5672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>Prijatie navrhovaného zákona nebude mať vplyv</w:t>
      </w:r>
      <w:r w:rsidR="00053D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na informatizáciu spoločnosti,</w:t>
      </w:r>
      <w:r w:rsidRPr="00B5672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životné prostredie a ani environmentálny vplyv. Prijatie navrhovaného zákona bude mať vplyv na rozpočet verejnej správy, vplyv na podnikateľské prostredie a bude mať sociálne vplyvy na život osôb s poruchami čítania. Vplyvy sú podrobnejšie vymedzené v doložke.</w:t>
      </w:r>
      <w:r w:rsidR="00BC3B04" w:rsidRPr="00B5672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sk-SK"/>
        </w:rPr>
        <w:t xml:space="preserve"> </w:t>
      </w:r>
    </w:p>
    <w:p w:rsidR="00E97060" w:rsidRPr="00BC3B04" w:rsidRDefault="00E97060" w:rsidP="00053D62">
      <w:pPr>
        <w:spacing w:after="0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sk-SK"/>
        </w:rPr>
      </w:pPr>
    </w:p>
    <w:p w:rsidR="008E4E05" w:rsidRDefault="00BC3B04" w:rsidP="00F5402D">
      <w:pPr>
        <w:spacing w:after="0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E4E0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Návrh zákona je v súlade s Ústavou Slovenskej republiky, ústavnými zákonmi, zákonmi a ostatnými všeobecne záväznými právnymi predpismi, ako aj s medzinárodnými zmluvami a medzinárodnými dokumentmi, ktorými je Slovenská republika viazaná. Predložený návrh zákona je v s</w:t>
      </w:r>
      <w:r w:rsidR="008E4E05" w:rsidRPr="008E4E0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úlade s právom Európskej únie</w:t>
      </w:r>
      <w:r w:rsidR="00F5402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 a nie je predmetom </w:t>
      </w:r>
      <w:proofErr w:type="spellStart"/>
      <w:r w:rsidR="00F5402D" w:rsidRPr="00F5402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vnútro</w:t>
      </w:r>
      <w:r w:rsidR="00F5402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komunitárneho</w:t>
      </w:r>
      <w:proofErr w:type="spellEnd"/>
      <w:r w:rsidR="00F5402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 pripomienkového </w:t>
      </w:r>
      <w:r w:rsidR="00F5402D" w:rsidRPr="00F5402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konania</w:t>
      </w:r>
      <w:r w:rsidR="008E4E05" w:rsidRPr="008E4E05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. </w:t>
      </w:r>
      <w:bookmarkStart w:id="0" w:name="_GoBack"/>
      <w:bookmarkEnd w:id="0"/>
    </w:p>
    <w:p w:rsidR="00E97060" w:rsidRPr="00BC3B04" w:rsidRDefault="00E97060" w:rsidP="00053D62">
      <w:pPr>
        <w:spacing w:after="0"/>
        <w:ind w:firstLine="709"/>
        <w:jc w:val="both"/>
        <w:divId w:val="1046373808"/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lang w:eastAsia="sk-SK"/>
        </w:rPr>
      </w:pPr>
    </w:p>
    <w:p w:rsidR="00BC3B04" w:rsidRPr="00583A13" w:rsidRDefault="008E4E05" w:rsidP="00053D62">
      <w:pPr>
        <w:pStyle w:val="Default"/>
        <w:spacing w:line="276" w:lineRule="auto"/>
        <w:ind w:firstLine="709"/>
        <w:jc w:val="both"/>
        <w:divId w:val="1046373808"/>
        <w:rPr>
          <w:rFonts w:ascii="Times New Roman" w:eastAsia="Times New Roman" w:hAnsi="Times New Roman" w:cs="Times New Roman"/>
          <w:color w:val="auto"/>
          <w:lang w:eastAsia="sk-SK"/>
        </w:rPr>
      </w:pPr>
      <w:r w:rsidRPr="008E4E05">
        <w:rPr>
          <w:rFonts w:ascii="Times New Roman" w:eastAsia="Times New Roman" w:hAnsi="Times New Roman" w:cs="Times New Roman"/>
          <w:color w:val="auto"/>
          <w:lang w:eastAsia="sk-SK"/>
        </w:rPr>
        <w:t>Navrhovaná účinnosť k 11. októbru 2018</w:t>
      </w:r>
      <w:r w:rsidR="00BC3B04" w:rsidRPr="008E4E05">
        <w:rPr>
          <w:rFonts w:ascii="Times New Roman" w:eastAsia="Times New Roman" w:hAnsi="Times New Roman" w:cs="Times New Roman"/>
          <w:color w:val="auto"/>
          <w:lang w:eastAsia="sk-SK"/>
        </w:rPr>
        <w:t xml:space="preserve"> zodpovedá </w:t>
      </w:r>
      <w:r w:rsidR="00FE1F14">
        <w:rPr>
          <w:rFonts w:ascii="Times New Roman" w:eastAsia="Times New Roman" w:hAnsi="Times New Roman" w:cs="Times New Roman"/>
          <w:color w:val="auto"/>
          <w:lang w:eastAsia="sk-SK"/>
        </w:rPr>
        <w:t>lehote na transpozíciu smernice.</w:t>
      </w:r>
    </w:p>
    <w:sectPr w:rsidR="00BC3B04" w:rsidRPr="00583A13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9C" w:rsidRDefault="0072659C" w:rsidP="000A67D5">
      <w:pPr>
        <w:spacing w:after="0" w:line="240" w:lineRule="auto"/>
      </w:pPr>
      <w:r>
        <w:separator/>
      </w:r>
    </w:p>
  </w:endnote>
  <w:endnote w:type="continuationSeparator" w:id="0">
    <w:p w:rsidR="0072659C" w:rsidRDefault="0072659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9C" w:rsidRDefault="0072659C" w:rsidP="000A67D5">
      <w:pPr>
        <w:spacing w:after="0" w:line="240" w:lineRule="auto"/>
      </w:pPr>
      <w:r>
        <w:separator/>
      </w:r>
    </w:p>
  </w:footnote>
  <w:footnote w:type="continuationSeparator" w:id="0">
    <w:p w:rsidR="0072659C" w:rsidRDefault="0072659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13B28"/>
    <w:rsid w:val="00025017"/>
    <w:rsid w:val="0004177F"/>
    <w:rsid w:val="00053D62"/>
    <w:rsid w:val="000603AB"/>
    <w:rsid w:val="0006543E"/>
    <w:rsid w:val="00092DD6"/>
    <w:rsid w:val="000A67D5"/>
    <w:rsid w:val="000B496C"/>
    <w:rsid w:val="000C30FD"/>
    <w:rsid w:val="000E25CA"/>
    <w:rsid w:val="001034F7"/>
    <w:rsid w:val="001215F3"/>
    <w:rsid w:val="00146547"/>
    <w:rsid w:val="00146B48"/>
    <w:rsid w:val="00150388"/>
    <w:rsid w:val="00164BD8"/>
    <w:rsid w:val="001A3641"/>
    <w:rsid w:val="001D7FDD"/>
    <w:rsid w:val="001E1301"/>
    <w:rsid w:val="002109B0"/>
    <w:rsid w:val="0021228E"/>
    <w:rsid w:val="00230F3C"/>
    <w:rsid w:val="0026610F"/>
    <w:rsid w:val="002702D6"/>
    <w:rsid w:val="002A0BEE"/>
    <w:rsid w:val="002A5577"/>
    <w:rsid w:val="002D0C48"/>
    <w:rsid w:val="002E63A1"/>
    <w:rsid w:val="00310F8A"/>
    <w:rsid w:val="003111B8"/>
    <w:rsid w:val="00322014"/>
    <w:rsid w:val="0033268E"/>
    <w:rsid w:val="00371260"/>
    <w:rsid w:val="003740CD"/>
    <w:rsid w:val="00382196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37A9D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83A13"/>
    <w:rsid w:val="0059081C"/>
    <w:rsid w:val="005F3AF1"/>
    <w:rsid w:val="00634B9C"/>
    <w:rsid w:val="00642FB8"/>
    <w:rsid w:val="00657226"/>
    <w:rsid w:val="00685C75"/>
    <w:rsid w:val="006A3681"/>
    <w:rsid w:val="006A6C42"/>
    <w:rsid w:val="007055C1"/>
    <w:rsid w:val="0072659C"/>
    <w:rsid w:val="0073495B"/>
    <w:rsid w:val="00764FAC"/>
    <w:rsid w:val="00766598"/>
    <w:rsid w:val="007746DD"/>
    <w:rsid w:val="00777C34"/>
    <w:rsid w:val="007A1010"/>
    <w:rsid w:val="007D7AE6"/>
    <w:rsid w:val="007E3BAB"/>
    <w:rsid w:val="0081645A"/>
    <w:rsid w:val="008354BD"/>
    <w:rsid w:val="0084052F"/>
    <w:rsid w:val="00852283"/>
    <w:rsid w:val="00880BB5"/>
    <w:rsid w:val="008A1964"/>
    <w:rsid w:val="008D2B72"/>
    <w:rsid w:val="008E2844"/>
    <w:rsid w:val="008E3D2E"/>
    <w:rsid w:val="008E4E05"/>
    <w:rsid w:val="0090100E"/>
    <w:rsid w:val="009239D9"/>
    <w:rsid w:val="0097304F"/>
    <w:rsid w:val="009870C4"/>
    <w:rsid w:val="009B2526"/>
    <w:rsid w:val="009C6C5C"/>
    <w:rsid w:val="009D6F8B"/>
    <w:rsid w:val="00A05DD1"/>
    <w:rsid w:val="00A54A16"/>
    <w:rsid w:val="00A9070C"/>
    <w:rsid w:val="00AE2405"/>
    <w:rsid w:val="00AE3CE6"/>
    <w:rsid w:val="00AF457A"/>
    <w:rsid w:val="00B133CC"/>
    <w:rsid w:val="00B56724"/>
    <w:rsid w:val="00B67ED2"/>
    <w:rsid w:val="00B75BB0"/>
    <w:rsid w:val="00B81906"/>
    <w:rsid w:val="00B906B2"/>
    <w:rsid w:val="00BC0FC5"/>
    <w:rsid w:val="00BC3B04"/>
    <w:rsid w:val="00BD1FAB"/>
    <w:rsid w:val="00BE7302"/>
    <w:rsid w:val="00BE735C"/>
    <w:rsid w:val="00C31870"/>
    <w:rsid w:val="00C35BC3"/>
    <w:rsid w:val="00C554E7"/>
    <w:rsid w:val="00C65A4A"/>
    <w:rsid w:val="00C920E8"/>
    <w:rsid w:val="00CA287B"/>
    <w:rsid w:val="00CA4563"/>
    <w:rsid w:val="00CB5C14"/>
    <w:rsid w:val="00CC35E6"/>
    <w:rsid w:val="00CD7E44"/>
    <w:rsid w:val="00CE47A6"/>
    <w:rsid w:val="00D261C9"/>
    <w:rsid w:val="00D46119"/>
    <w:rsid w:val="00D5650C"/>
    <w:rsid w:val="00D7179C"/>
    <w:rsid w:val="00D85172"/>
    <w:rsid w:val="00D969AC"/>
    <w:rsid w:val="00DA34D9"/>
    <w:rsid w:val="00DC0BD9"/>
    <w:rsid w:val="00DD1585"/>
    <w:rsid w:val="00DD58E1"/>
    <w:rsid w:val="00DF6095"/>
    <w:rsid w:val="00DF645C"/>
    <w:rsid w:val="00E076A2"/>
    <w:rsid w:val="00E14E7F"/>
    <w:rsid w:val="00E22806"/>
    <w:rsid w:val="00E32491"/>
    <w:rsid w:val="00E36FBA"/>
    <w:rsid w:val="00E5284A"/>
    <w:rsid w:val="00E840B3"/>
    <w:rsid w:val="00E97060"/>
    <w:rsid w:val="00EA7C00"/>
    <w:rsid w:val="00EC027B"/>
    <w:rsid w:val="00EE0D4A"/>
    <w:rsid w:val="00EF1425"/>
    <w:rsid w:val="00F01021"/>
    <w:rsid w:val="00F256C4"/>
    <w:rsid w:val="00F2656B"/>
    <w:rsid w:val="00F26A4A"/>
    <w:rsid w:val="00F46B1B"/>
    <w:rsid w:val="00F5402D"/>
    <w:rsid w:val="00FA0ABD"/>
    <w:rsid w:val="00FB12C1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D7E44"/>
    <w:rPr>
      <w:color w:val="0000FF"/>
      <w:u w:val="single"/>
    </w:rPr>
  </w:style>
  <w:style w:type="character" w:styleId="Zvraznenie">
    <w:name w:val="Emphasis"/>
    <w:uiPriority w:val="20"/>
    <w:qFormat/>
    <w:rsid w:val="00CD7E44"/>
    <w:rPr>
      <w:i/>
      <w:i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3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3B04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3B04"/>
    <w:pPr>
      <w:widowControl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3B04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character" w:customStyle="1" w:styleId="spanr">
    <w:name w:val="span_r"/>
    <w:rsid w:val="00BC3B04"/>
  </w:style>
  <w:style w:type="paragraph" w:customStyle="1" w:styleId="Default">
    <w:name w:val="Default"/>
    <w:rsid w:val="008E4E0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CD7E44"/>
    <w:rPr>
      <w:color w:val="0000FF"/>
      <w:u w:val="single"/>
    </w:rPr>
  </w:style>
  <w:style w:type="character" w:styleId="Zvraznenie">
    <w:name w:val="Emphasis"/>
    <w:uiPriority w:val="20"/>
    <w:qFormat/>
    <w:rsid w:val="00CD7E44"/>
    <w:rPr>
      <w:i/>
      <w:i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3B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C3B04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3B04"/>
    <w:pPr>
      <w:widowControl w:val="0"/>
      <w:adjustRightInd w:val="0"/>
      <w:spacing w:after="0"/>
    </w:pPr>
    <w:rPr>
      <w:rFonts w:ascii="Times New Roman" w:eastAsia="Times New Roman" w:hAnsi="Times New Roman" w:cs="Times New Roman"/>
      <w:b/>
      <w:bCs/>
      <w:noProof w:val="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3B04"/>
    <w:rPr>
      <w:rFonts w:ascii="Times New Roman" w:eastAsia="Times New Roman" w:hAnsi="Times New Roman" w:cs="Times New Roman"/>
      <w:b/>
      <w:bCs/>
      <w:noProof/>
      <w:sz w:val="20"/>
      <w:szCs w:val="20"/>
      <w:lang w:val="sk-SK" w:eastAsia="sk-SK"/>
    </w:rPr>
  </w:style>
  <w:style w:type="character" w:customStyle="1" w:styleId="spanr">
    <w:name w:val="span_r"/>
    <w:rsid w:val="00BC3B04"/>
  </w:style>
  <w:style w:type="paragraph" w:customStyle="1" w:styleId="Default">
    <w:name w:val="Default"/>
    <w:rsid w:val="008E4E0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Fscclone"/>
    <f:field ref="objcreatedat" par="" text="20.7.2016 1:09:24"/>
    <f:field ref="objchangedby" par="" text="Fscclone"/>
    <f:field ref="objmodifiedat" par="" text="20.7.2016 1:09:4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9A7661-0C71-4D65-A4E7-8294D41B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2018-02-28T14:03:00Z</dcterms:created>
  <dcterms:modified xsi:type="dcterms:W3CDTF">2018-04-05T11:55:00Z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Oľga Davalová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nazovpredpis">
    <vt:lpwstr> Riadne predbežné stanovisko k návrhu smernice Európskeho parlamentu a Rady, ktorou sa mení smernica 2010/13/EÚ o koordinácii niektorých ustanovení upravených zákonom, iným právnym predpisom alebo správnym opatrením v členských štátoch týkajúcich sa posky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kultúry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uznesenia vlády SR č. 627/2013 </vt:lpwstr>
  </property>
  <property fmtid="{D5CDD505-2E9C-101B-9397-08002B2CF9AE}" pid="16" name="FSC#SKEDITIONSLOVLEX@103.510:plnynazovpredpis">
    <vt:lpwstr> Riadne predbežné stanovisko k návrhu smernice Európskeho parlamentu a Rady, ktorou sa mení smernica 2010/13/EÚ o koordinácii niektorých ustanovení upravených zákonom, iným právnym predpisom alebo správnym opatrením v členských štátoch týkajúcich sa posky</vt:lpwstr>
  </property>
  <property fmtid="{D5CDD505-2E9C-101B-9397-08002B2CF9AE}" pid="17" name="FSC#SKEDITIONSLOVLEX@103.510:rezortcislopredpis">
    <vt:lpwstr>MK-2565/2013-231/8483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kultúry Slovenskej republiky predkladá na medzirezortné pripomienkové konanie Riadne predbežné stanovisko k&amp;nbsp;návrhu smernice Európskeho parlamentu a&amp;nbsp;Rady, ktorou sa mení smernica 2010/13/EÚ o&amp;nbsp;koor</vt:lpwstr>
  </property>
  <property fmtid="{D5CDD505-2E9C-101B-9397-08002B2CF9AE}" pid="130" name="FSC#COOSYSTEM@1.1:Container">
    <vt:lpwstr>COO.2145.1000.3.1514620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tovania audiovizuálnych mediálnych služieb s ohľadom na mieniace sa podmienky trhu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tovania audiovizuálnych mediálnych služieb s ohľadom na mieniace sa podmienky trhu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kultúry Slovenskej republiky</vt:lpwstr>
  </property>
  <property fmtid="{D5CDD505-2E9C-101B-9397-08002B2CF9AE}" pid="145" name="FSC#SKEDITIONSLOVLEX@103.510:funkciaZodpPredAkuzativ">
    <vt:lpwstr>ministrovi kultúry Slovenskej republiky</vt:lpwstr>
  </property>
  <property fmtid="{D5CDD505-2E9C-101B-9397-08002B2CF9AE}" pid="146" name="FSC#SKEDITIONSLOVLEX@103.510:funkciaZodpPredDativ">
    <vt:lpwstr>ministra kultúry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Marek Maďarič_x000d_
minister kultúry Slovenskej republiky</vt:lpwstr>
  </property>
  <property fmtid="{D5CDD505-2E9C-101B-9397-08002B2CF9AE}" pid="151" name="FSC#SKEDITIONSLOVLEX@103.510:aktualnyrok">
    <vt:lpwstr>2016</vt:lpwstr>
  </property>
</Properties>
</file>