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7E6051" w:rsidRPr="00346A9B" w:rsidTr="00984BE6">
        <w:trPr>
          <w:trHeight w:val="567"/>
        </w:trPr>
        <w:tc>
          <w:tcPr>
            <w:tcW w:w="9212" w:type="dxa"/>
            <w:shd w:val="clear" w:color="auto" w:fill="D9D9D9" w:themeFill="background1" w:themeFillShade="D9"/>
          </w:tcPr>
          <w:p w:rsidR="007E6051" w:rsidRPr="00346A9B" w:rsidRDefault="007E6051" w:rsidP="00984BE6">
            <w:pPr>
              <w:jc w:val="center"/>
              <w:rPr>
                <w:rFonts w:ascii="Times New Roman" w:hAnsi="Times New Roman" w:cs="Times New Roman"/>
                <w:b/>
              </w:rPr>
            </w:pPr>
            <w:bookmarkStart w:id="0" w:name="_GoBack"/>
            <w:bookmarkEnd w:id="0"/>
            <w:r w:rsidRPr="00346A9B">
              <w:rPr>
                <w:rFonts w:ascii="Times New Roman" w:hAnsi="Times New Roman" w:cs="Times New Roman"/>
                <w:b/>
                <w:sz w:val="28"/>
              </w:rPr>
              <w:t xml:space="preserve">Analýza vplyvov na podnikateľské prostredie </w:t>
            </w:r>
          </w:p>
          <w:p w:rsidR="007E6051" w:rsidRPr="00346A9B" w:rsidRDefault="007E6051" w:rsidP="00984BE6">
            <w:pPr>
              <w:jc w:val="center"/>
              <w:rPr>
                <w:rFonts w:ascii="Times New Roman" w:hAnsi="Times New Roman" w:cs="Times New Roman"/>
                <w:b/>
              </w:rPr>
            </w:pPr>
            <w:r w:rsidRPr="00346A9B">
              <w:rPr>
                <w:rFonts w:ascii="Times New Roman" w:hAnsi="Times New Roman" w:cs="Times New Roman"/>
                <w:b/>
              </w:rPr>
              <w:t>(vrátane testu MSP)</w:t>
            </w:r>
          </w:p>
        </w:tc>
      </w:tr>
      <w:tr w:rsidR="007E6051" w:rsidRPr="00346A9B" w:rsidTr="00984BE6">
        <w:trPr>
          <w:trHeight w:val="567"/>
        </w:trPr>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Materiál bude mať vplyv s ohľadom na veľkostnú kategóriu podnikov:</w:t>
            </w:r>
          </w:p>
        </w:tc>
      </w:tr>
      <w:tr w:rsidR="007E6051" w:rsidRPr="00346A9B" w:rsidTr="00984BE6">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7E6051" w:rsidRPr="00346A9B" w:rsidTr="00984BE6">
              <w:sdt>
                <w:sdtPr>
                  <w:id w:val="43339831"/>
                  <w14:checkbox>
                    <w14:checked w14:val="0"/>
                    <w14:checkedState w14:val="2612" w14:font="MS Gothic"/>
                    <w14:uncheckedState w14:val="2610" w14:font="MS Gothic"/>
                  </w14:checkbox>
                </w:sdtPr>
                <w:sdtEndPr/>
                <w:sdtContent>
                  <w:tc>
                    <w:tcPr>
                      <w:tcW w:w="436" w:type="dxa"/>
                    </w:tcPr>
                    <w:p w:rsidR="007E6051" w:rsidRPr="00346A9B" w:rsidRDefault="007E6051" w:rsidP="00984BE6">
                      <w:pPr>
                        <w:jc w:val="center"/>
                        <w:rPr>
                          <w:rFonts w:ascii="Times New Roman" w:hAnsi="Times New Roman" w:cs="Times New Roman"/>
                        </w:rPr>
                      </w:pPr>
                      <w:r w:rsidRPr="00346A9B">
                        <w:rPr>
                          <w:rFonts w:ascii="MS Mincho" w:eastAsia="MS Mincho" w:hAnsi="MS Mincho" w:cs="MS Mincho" w:hint="eastAsia"/>
                        </w:rPr>
                        <w:t>☐</w:t>
                      </w:r>
                    </w:p>
                  </w:tc>
                </w:sdtContent>
              </w:sdt>
              <w:tc>
                <w:tcPr>
                  <w:tcW w:w="8545" w:type="dxa"/>
                </w:tcPr>
                <w:p w:rsidR="007E6051" w:rsidRPr="00346A9B" w:rsidRDefault="007E6051" w:rsidP="00984BE6">
                  <w:pPr>
                    <w:rPr>
                      <w:rFonts w:ascii="Times New Roman" w:hAnsi="Times New Roman" w:cs="Times New Roman"/>
                      <w:b/>
                    </w:rPr>
                  </w:pPr>
                  <w:r w:rsidRPr="00346A9B">
                    <w:rPr>
                      <w:rFonts w:ascii="Times New Roman" w:hAnsi="Times New Roman" w:cs="Times New Roman"/>
                      <w:b/>
                    </w:rPr>
                    <w:t xml:space="preserve">iba na MSP (0 - 249 zamestnancov) </w:t>
                  </w:r>
                </w:p>
              </w:tc>
            </w:tr>
            <w:tr w:rsidR="007E6051" w:rsidRPr="00346A9B" w:rsidTr="00984BE6">
              <w:sdt>
                <w:sdtPr>
                  <w:id w:val="-79453833"/>
                  <w14:checkbox>
                    <w14:checked w14:val="0"/>
                    <w14:checkedState w14:val="2612" w14:font="MS Gothic"/>
                    <w14:uncheckedState w14:val="2610" w14:font="MS Gothic"/>
                  </w14:checkbox>
                </w:sdtPr>
                <w:sdtEndPr/>
                <w:sdtContent>
                  <w:tc>
                    <w:tcPr>
                      <w:tcW w:w="436" w:type="dxa"/>
                    </w:tcPr>
                    <w:p w:rsidR="007E6051" w:rsidRPr="00346A9B" w:rsidRDefault="007E6051" w:rsidP="00984BE6">
                      <w:pPr>
                        <w:jc w:val="center"/>
                        <w:rPr>
                          <w:rFonts w:ascii="Times New Roman" w:hAnsi="Times New Roman" w:cs="Times New Roman"/>
                        </w:rPr>
                      </w:pPr>
                      <w:r w:rsidRPr="00346A9B">
                        <w:rPr>
                          <w:rFonts w:ascii="MS Mincho" w:eastAsia="MS Mincho" w:hAnsi="MS Mincho" w:cs="MS Mincho" w:hint="eastAsia"/>
                        </w:rPr>
                        <w:t>☐</w:t>
                      </w:r>
                    </w:p>
                  </w:tc>
                </w:sdtContent>
              </w:sdt>
              <w:tc>
                <w:tcPr>
                  <w:tcW w:w="8545" w:type="dxa"/>
                </w:tcPr>
                <w:p w:rsidR="007E6051" w:rsidRPr="00346A9B" w:rsidRDefault="007E6051" w:rsidP="00984BE6">
                  <w:pPr>
                    <w:rPr>
                      <w:rFonts w:ascii="Times New Roman" w:hAnsi="Times New Roman" w:cs="Times New Roman"/>
                      <w:b/>
                    </w:rPr>
                  </w:pPr>
                  <w:r w:rsidRPr="00346A9B">
                    <w:rPr>
                      <w:rFonts w:ascii="Times New Roman" w:hAnsi="Times New Roman" w:cs="Times New Roman"/>
                      <w:b/>
                    </w:rPr>
                    <w:t>iba na veľké podniky (250 a viac zamestnancov)</w:t>
                  </w:r>
                </w:p>
              </w:tc>
            </w:tr>
            <w:tr w:rsidR="007E6051" w:rsidRPr="00346A9B" w:rsidTr="00984BE6">
              <w:sdt>
                <w:sdtPr>
                  <w:id w:val="1290634502"/>
                  <w14:checkbox>
                    <w14:checked w14:val="1"/>
                    <w14:checkedState w14:val="2612" w14:font="MS Gothic"/>
                    <w14:uncheckedState w14:val="2610" w14:font="MS Gothic"/>
                  </w14:checkbox>
                </w:sdtPr>
                <w:sdtEndPr/>
                <w:sdtContent>
                  <w:tc>
                    <w:tcPr>
                      <w:tcW w:w="436" w:type="dxa"/>
                    </w:tcPr>
                    <w:p w:rsidR="007E6051" w:rsidRPr="00346A9B" w:rsidRDefault="007E6051" w:rsidP="00984BE6">
                      <w:pPr>
                        <w:jc w:val="center"/>
                        <w:rPr>
                          <w:rFonts w:ascii="Times New Roman" w:hAnsi="Times New Roman" w:cs="Times New Roman"/>
                        </w:rPr>
                      </w:pPr>
                      <w:r w:rsidRPr="00346A9B">
                        <w:rPr>
                          <w:rFonts w:ascii="MS Mincho" w:eastAsia="MS Mincho" w:hAnsi="MS Mincho" w:cs="MS Mincho" w:hint="eastAsia"/>
                        </w:rPr>
                        <w:t>☒</w:t>
                      </w:r>
                    </w:p>
                  </w:tc>
                </w:sdtContent>
              </w:sdt>
              <w:tc>
                <w:tcPr>
                  <w:tcW w:w="8545" w:type="dxa"/>
                </w:tcPr>
                <w:p w:rsidR="007E6051" w:rsidRPr="00346A9B" w:rsidRDefault="007E6051" w:rsidP="00984BE6">
                  <w:pPr>
                    <w:rPr>
                      <w:rFonts w:ascii="Times New Roman" w:hAnsi="Times New Roman" w:cs="Times New Roman"/>
                    </w:rPr>
                  </w:pPr>
                  <w:r w:rsidRPr="00346A9B">
                    <w:rPr>
                      <w:rFonts w:ascii="Times New Roman" w:hAnsi="Times New Roman" w:cs="Times New Roman"/>
                      <w:b/>
                    </w:rPr>
                    <w:t>na všetky kategórie podnikov</w:t>
                  </w:r>
                </w:p>
              </w:tc>
            </w:tr>
          </w:tbl>
          <w:p w:rsidR="007E6051" w:rsidRPr="00346A9B" w:rsidRDefault="007E6051" w:rsidP="00984BE6">
            <w:pPr>
              <w:rPr>
                <w:rFonts w:ascii="Times New Roman" w:hAnsi="Times New Roman" w:cs="Times New Roman"/>
                <w:b/>
              </w:rPr>
            </w:pPr>
          </w:p>
        </w:tc>
      </w:tr>
      <w:tr w:rsidR="007E6051" w:rsidRPr="00346A9B" w:rsidTr="00984BE6">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3.1 Dotknuté podnikateľské subjekty</w:t>
            </w:r>
          </w:p>
          <w:p w:rsidR="007E6051" w:rsidRPr="00346A9B" w:rsidRDefault="007E6051" w:rsidP="00984BE6">
            <w:pPr>
              <w:ind w:left="284"/>
              <w:rPr>
                <w:rFonts w:ascii="Times New Roman" w:hAnsi="Times New Roman" w:cs="Times New Roman"/>
                <w:b/>
              </w:rPr>
            </w:pPr>
            <w:r w:rsidRPr="00346A9B">
              <w:rPr>
                <w:rFonts w:ascii="Times New Roman" w:hAnsi="Times New Roman" w:cs="Times New Roman"/>
              </w:rPr>
              <w:t xml:space="preserve"> - </w:t>
            </w:r>
            <w:r w:rsidRPr="00346A9B">
              <w:rPr>
                <w:rFonts w:ascii="Times New Roman" w:hAnsi="Times New Roman" w:cs="Times New Roman"/>
                <w:b/>
              </w:rPr>
              <w:t>z toho MSP</w:t>
            </w: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i/>
              </w:rPr>
            </w:pPr>
            <w:r w:rsidRPr="00346A9B">
              <w:rPr>
                <w:rFonts w:ascii="Times New Roman" w:hAnsi="Times New Roman" w:cs="Times New Roman"/>
                <w:i/>
              </w:rPr>
              <w:t>Uveďte, aké podnikateľské subjekty budú predkladaným návrhom ovplyvnené.</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Aký je ich počet?</w:t>
            </w:r>
          </w:p>
        </w:tc>
      </w:tr>
      <w:tr w:rsidR="007E6051" w:rsidRPr="00346A9B" w:rsidTr="00984BE6">
        <w:trPr>
          <w:trHeight w:val="1440"/>
        </w:trPr>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Navrhovaná úprava sa dotkne najmä subjektov podnikajúcich v oblasti cestovného ruchu (obchodných spoločností, samostatne zárobkovo činných osôb alebo iných subjektov), ktorí budú vykonávať svoje činnosti na základe živnostenského oprávnenia na prevádzkovanie cestovných kancelárií alebo cestovných agentúr. V zmysle platnej legislatívny sa to ale nedotkne iba aktuálne podnikajúcich cestovných kancelárií a cestovných agentúr, ale aj iných subjektov (prepravných spoločností, ubytovacích zariadení, </w:t>
            </w:r>
            <w:proofErr w:type="spellStart"/>
            <w:r w:rsidRPr="00346A9B">
              <w:rPr>
                <w:rFonts w:ascii="Times New Roman" w:hAnsi="Times New Roman" w:cs="Times New Roman"/>
              </w:rPr>
              <w:t>eventových</w:t>
            </w:r>
            <w:proofErr w:type="spellEnd"/>
            <w:r w:rsidRPr="00346A9B">
              <w:rPr>
                <w:rFonts w:ascii="Times New Roman" w:hAnsi="Times New Roman" w:cs="Times New Roman"/>
              </w:rPr>
              <w:t xml:space="preserve"> agentúr a podobne) v prípade, ak budú mať záujem ponúkať, kombinovať alebo predávať za zákonom stanovených podmienok služby</w:t>
            </w:r>
            <w:r w:rsidR="000F202F">
              <w:rPr>
                <w:rFonts w:ascii="Times New Roman" w:hAnsi="Times New Roman" w:cs="Times New Roman"/>
              </w:rPr>
              <w:t xml:space="preserve"> cestovného ruchu</w:t>
            </w:r>
            <w:r w:rsidRPr="00346A9B">
              <w:rPr>
                <w:rFonts w:ascii="Times New Roman" w:hAnsi="Times New Roman" w:cs="Times New Roman"/>
              </w:rPr>
              <w:t xml:space="preserve">, ktoré budú spĺňať kritériá na vznik zájazdu alebo spojených cestovných služieb.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Ďalej budú ovplyvnené vo vzťahu k poskytovaniu ochrany pre prípad úpadku cestovných kancelárií aj subjekty podnikajúce v oblasti finančného trhu, konkrétne poisťovne, pobočky zahraničnej poisťovne z iného ako členského štátu EÚ, pričom na základe cezhraničného poskytovania služieb je oprávnená poskytovať poisťovacie služby na území Slovenskej republiky aj poisťovňa z členského štátu EÚ, a to prostredníctvom pobočky alebo na základe práva slobodného poskytovania služieb bez zriadenia pobočky a banky, pobočky zahraničnej banky z iného ako členského štátu EÚ, pričom na základe cezhraničného poskytovania služieb je oprávnená poskytovať služby na území Slovenskej republiky aj banka z členského štátu EÚ, a to prostredníctvom pobočky alebo na základe práva slobodného poskytovania služieb bez zriadenia pobočky.</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Z údajov získaných zo Štatistického úradu Slovenskej republiky vyplýva, že v súčasnosti na slovenskom trhu pôsobí približne 400 subjektov podnikajúcich v oblasti cestovného ruchu a vykonávajúcich činnosti cestovných agentúr, rezervačné služby cestovných kancelárií a súvisiace činnosti, ktorých by sa predmetná úprava podľa návrhu zákona malo priama dotknúť.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i/>
              </w:rPr>
            </w:pPr>
            <w:r w:rsidRPr="00346A9B">
              <w:rPr>
                <w:rFonts w:ascii="Times New Roman" w:hAnsi="Times New Roman" w:cs="Times New Roman"/>
              </w:rPr>
              <w:t xml:space="preserve">Návrhom zákona sa do aplikačnej praxe zavádza úplne nový pojem spojených cestovných služieb, ktorý sa potenciálne nedotkne iba vyššie kvantifikovaných cestovných kancelárií alebo cestovných agentúr ale aj iných subjektov (napr. ubytovacích zariadení, prepravných spoločností, </w:t>
            </w:r>
            <w:proofErr w:type="spellStart"/>
            <w:r w:rsidRPr="00346A9B">
              <w:rPr>
                <w:rFonts w:ascii="Times New Roman" w:hAnsi="Times New Roman" w:cs="Times New Roman"/>
              </w:rPr>
              <w:t>eventových</w:t>
            </w:r>
            <w:proofErr w:type="spellEnd"/>
            <w:r w:rsidRPr="00346A9B">
              <w:rPr>
                <w:rFonts w:ascii="Times New Roman" w:hAnsi="Times New Roman" w:cs="Times New Roman"/>
              </w:rPr>
              <w:t xml:space="preserve"> agentúr a podobne), za predpokladu, že budú spĺňať podmienky ustanovené zákonom. Navyše sa návrhom zákona rozširuje okruh dotknutých subjektov, a to nielen na pôsobiacich priamo na Slovensku ale aj v cele Európskej únii. Keďže nie je možné odhadnúť, na koľko z vyššie uvedených subjektov sa táto regulácia bude v praxi vzťahovať, nie je možné počet subjektov ďalej kvantifikovať. </w:t>
            </w:r>
          </w:p>
        </w:tc>
      </w:tr>
      <w:tr w:rsidR="007E6051" w:rsidRPr="00346A9B" w:rsidTr="00984BE6">
        <w:trPr>
          <w:trHeight w:val="339"/>
        </w:trPr>
        <w:tc>
          <w:tcPr>
            <w:tcW w:w="9212" w:type="dxa"/>
            <w:tcBorders>
              <w:bottom w:val="single" w:sz="4" w:space="0" w:color="auto"/>
            </w:tcBorders>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3.2 Vyhodnotenie konzultácií</w:t>
            </w:r>
          </w:p>
          <w:p w:rsidR="007E6051" w:rsidRPr="00346A9B" w:rsidRDefault="007E6051" w:rsidP="00984BE6">
            <w:pPr>
              <w:rPr>
                <w:rFonts w:ascii="Times New Roman" w:hAnsi="Times New Roman" w:cs="Times New Roman"/>
                <w:b/>
              </w:rPr>
            </w:pPr>
            <w:r w:rsidRPr="00346A9B">
              <w:rPr>
                <w:rFonts w:ascii="Times New Roman" w:hAnsi="Times New Roman" w:cs="Times New Roman"/>
              </w:rPr>
              <w:t xml:space="preserve">       - </w:t>
            </w:r>
            <w:r w:rsidRPr="00346A9B">
              <w:rPr>
                <w:rFonts w:ascii="Times New Roman" w:hAnsi="Times New Roman" w:cs="Times New Roman"/>
                <w:b/>
              </w:rPr>
              <w:t>z toho MSP</w:t>
            </w:r>
          </w:p>
        </w:tc>
      </w:tr>
      <w:tr w:rsidR="007E6051" w:rsidRPr="00346A9B" w:rsidTr="00984BE6">
        <w:trPr>
          <w:trHeight w:val="557"/>
        </w:trPr>
        <w:tc>
          <w:tcPr>
            <w:tcW w:w="9212" w:type="dxa"/>
            <w:tcBorders>
              <w:bottom w:val="single" w:sz="4" w:space="0" w:color="auto"/>
            </w:tcBorders>
          </w:tcPr>
          <w:p w:rsidR="007E6051" w:rsidRPr="00346A9B" w:rsidRDefault="007E6051" w:rsidP="00984BE6">
            <w:pPr>
              <w:rPr>
                <w:rFonts w:ascii="Times New Roman" w:hAnsi="Times New Roman" w:cs="Times New Roman"/>
                <w:i/>
              </w:rPr>
            </w:pPr>
            <w:r w:rsidRPr="00346A9B">
              <w:rPr>
                <w:rFonts w:ascii="Times New Roman" w:hAnsi="Times New Roman" w:cs="Times New Roman"/>
                <w:i/>
              </w:rPr>
              <w:t>Uveďte, akou formou (verejné alebo cielené konzultácie a prečo) a s kým bol návrh konzultovaný.</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Ako dlho trvali konzultácie?</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 xml:space="preserve">Uveďte hlavné body konzultácií a výsledky konzultácií. </w:t>
            </w:r>
          </w:p>
        </w:tc>
      </w:tr>
      <w:tr w:rsidR="007E6051" w:rsidRPr="00346A9B" w:rsidTr="00984BE6">
        <w:trPr>
          <w:trHeight w:val="1440"/>
        </w:trPr>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Od začiatku príprav boli do procesu zapojení stáli členovia pracovnej skupiny: Ministerstvo dopravy a výstavby Slovenskej republiky, Ministerstvo vnútra Slovenskej republiky, Ministerstvo spravodlivosti Slovenskej republiky, Slovenská obchodná inšpekcia, Slovenská asociácia cestovných kancelárií a cestovných agentúr, Slovenská asociácia poisťovní, zástupcovia akademickej obce.</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Konalo sa niekoľko stretnutí stálych členov pracovnej skupiny, s ktorými boli priebežne konzultované všetky zmeny návrhu zákona. Stretnutia boli zvolané v mesiacoch jún, september 2017. </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Dotknuté subjekty boli pozvané vopred s tým, že dostali k dispozícii pracovný dokument (návrh variant legislatívnych riešení). Počas konzultácii sa diskutovalo o jednotlivých variantoch, najmä o:</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podmienkach na prevádzkovanie cestovných kancelárií;</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lastRenderedPageBreak/>
              <w:t>zabezpečení ochrany pre prípad úpadku cestovných kancelárií, okrem iného aj o rôznych možnostiach zabezpečenia tejto ochrany, a to aj zvažovaním vytvorenia garančného fondu;</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navýšení hranice poistnej sumy alebo bankovej záruky z 25% na 30% ročných plánovaných tržieb z predaja zájazdov alebo spojených cestovných služieb;</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vedení zoznamu cestovných kancelárií a o rozsahu povinne zverejňovaných údajov;</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definícii a vysvetlení základných pojmov obsiahnutých v zákone,</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v vykonávaní dohľadu;</w:t>
            </w:r>
          </w:p>
          <w:p w:rsidR="007E6051" w:rsidRPr="00346A9B" w:rsidRDefault="007E6051" w:rsidP="007E6051">
            <w:pPr>
              <w:pStyle w:val="Odsekzoznamu"/>
              <w:numPr>
                <w:ilvl w:val="0"/>
                <w:numId w:val="2"/>
              </w:numPr>
              <w:ind w:left="284" w:hanging="284"/>
              <w:jc w:val="both"/>
              <w:rPr>
                <w:rFonts w:ascii="Times New Roman" w:hAnsi="Times New Roman" w:cs="Times New Roman"/>
                <w:sz w:val="24"/>
              </w:rPr>
            </w:pPr>
            <w:r w:rsidRPr="00346A9B">
              <w:rPr>
                <w:rFonts w:ascii="Times New Roman" w:hAnsi="Times New Roman" w:cs="Times New Roman"/>
                <w:sz w:val="24"/>
              </w:rPr>
              <w:t>objasnení aplikačnej praxe jednotlivých zúčastnených subjektov v danej oblasti.</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Výsledok vypočutia bol zapracovaný do pracovného dokumentu, ktorý bol opätovne zaslaný na posúdenie. K pracovnému dokumentu niektoré subjekty zaslali písomné pripomienky, ktoré boli zohľadnené a následne im bolo odoslané vyhodnotenie daných pripomienok, ktoré boli buď zapracované alebo bolo náležite odôvodnené ich nezapracovanie do návrhu zákona. </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Okrem vyššie uvedených subjektov boli uskutočnené aj užšie rokovania so zástupcami Národnej banky Slovenska, Ministerstva financií Slovenskej republiky a Slovenskej bankovej asociácie. S týmito subjektmi sa rokovalo o špecifických častiach návrhu zákona (najmä o zabezpečení ochrany pre prípad úpadku cestovných kancelárií), ktoré sa priamo týkali ich pôsobnosti a činnosti. Výsledkom bolo zapracovanie niektorých ich pripomienok do návrhu zákona.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V období 31.8.2017 do 29.9.2017 prebehli verejné konzultácie, v rámci ktorých sa svojím stanoviskom zapojil aj Klub 500 – neziskové občianske združenie slovenských vlastníkov a spoluvlastníkov spoločností zamestnávajúcich viac ako 500 zamestnancov. Tento subjekt mal záujem o vysvetlenie niektorých ustanovení návrhu zákona a plánovaného uplatňovania týchto ustanovení v aplikačnej praxi. Išlo najmä o definície pojmu zájazdy a spojené služby</w:t>
            </w:r>
            <w:r w:rsidR="000F202F">
              <w:rPr>
                <w:rFonts w:ascii="Times New Roman" w:hAnsi="Times New Roman" w:cs="Times New Roman"/>
              </w:rPr>
              <w:t xml:space="preserve"> cestovného ruchu</w:t>
            </w:r>
            <w:r w:rsidRPr="00346A9B">
              <w:rPr>
                <w:rFonts w:ascii="Times New Roman" w:hAnsi="Times New Roman" w:cs="Times New Roman"/>
              </w:rPr>
              <w:t xml:space="preserve"> a povinnosti aj iných subjektov, ako sú aktuálne podnikajúce cestovné kancelárie a cestovné agentúry (napr. ubytovacie zariadenia) získať živnostenské oprávnenie na prevádzkovanie cestovnej kancelárie alebo cestovnej agentúry a plniť príslušné povinnosti vyplývajúce im z návrhu zákona. Tomuto subjektu bolo následne zaslané vyjadrenie sa k danej problematike. </w:t>
            </w:r>
          </w:p>
          <w:p w:rsidR="007E6051" w:rsidRPr="00346A9B" w:rsidRDefault="007E6051" w:rsidP="00984BE6">
            <w:pPr>
              <w:rPr>
                <w:rFonts w:ascii="Times New Roman" w:hAnsi="Times New Roman" w:cs="Times New Roman"/>
                <w:i/>
              </w:rPr>
            </w:pPr>
          </w:p>
        </w:tc>
      </w:tr>
      <w:tr w:rsidR="007E6051" w:rsidRPr="00346A9B" w:rsidTr="00984BE6">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lastRenderedPageBreak/>
              <w:t>3.3 Náklady regulácie</w:t>
            </w:r>
          </w:p>
          <w:p w:rsidR="007E6051" w:rsidRPr="00346A9B" w:rsidRDefault="007E6051" w:rsidP="00984BE6">
            <w:pPr>
              <w:rPr>
                <w:rFonts w:ascii="Times New Roman" w:hAnsi="Times New Roman" w:cs="Times New Roman"/>
                <w:b/>
              </w:rPr>
            </w:pPr>
            <w:r w:rsidRPr="00346A9B">
              <w:rPr>
                <w:rFonts w:ascii="Times New Roman" w:hAnsi="Times New Roman" w:cs="Times New Roman"/>
              </w:rPr>
              <w:t xml:space="preserve">      - </w:t>
            </w:r>
            <w:r w:rsidRPr="00346A9B">
              <w:rPr>
                <w:rFonts w:ascii="Times New Roman" w:hAnsi="Times New Roman" w:cs="Times New Roman"/>
                <w:b/>
              </w:rPr>
              <w:t>z toho MSP</w:t>
            </w: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b/>
                <w:i/>
              </w:rPr>
            </w:pPr>
            <w:r w:rsidRPr="00346A9B">
              <w:rPr>
                <w:rFonts w:ascii="Times New Roman" w:hAnsi="Times New Roman" w:cs="Times New Roman"/>
                <w:b/>
                <w:i/>
              </w:rPr>
              <w:t>3.3.1 Priame finančné náklady</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 xml:space="preserve">Dochádza k zvýšeniu/zníženiu priamych finančných nákladov (poplatky, odvody, dane clá...)? Ak áno, popíšte a vyčíslite ich. Uveďte tiež spôsob ich výpočtu. </w:t>
            </w:r>
          </w:p>
        </w:tc>
      </w:tr>
      <w:tr w:rsidR="007E6051" w:rsidRPr="00346A9B" w:rsidTr="00984BE6">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Priamym finančným nákladom pre cestovné kancelárie je povinnosť každej z nich mať zabezpečenú ochranu pre prípad úpadku v podobe poistenia, alebo bankovej záruky po celý čas prevádzkovania cestovnej kancelárie, pričom poistná suma alebo banková záruka musí byť dohodnutá vo výške najmenej 30 % ročných plánovaných tržieb z predaja zájazdov a spojených cestovných služieb (ak budú tieto tržby nižšie ako v predchádzajúcom roku, cestovná kancelária je povinná dohodnúť poistnú sumu alebo bankovú záruku vo výške najmenej 30% tržieb z predaja zájazdov a sprostredkovania spojených cestovných služieb v predchádzajúcom roku).</w:t>
            </w:r>
          </w:p>
          <w:p w:rsidR="007E6051" w:rsidRPr="00346A9B" w:rsidRDefault="007E6051" w:rsidP="00984BE6">
            <w:pPr>
              <w:jc w:val="both"/>
              <w:rPr>
                <w:rFonts w:ascii="Times New Roman" w:hAnsi="Times New Roman" w:cs="Times New Roman"/>
                <w:b/>
                <w:i/>
              </w:rPr>
            </w:pP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b/>
                <w:i/>
              </w:rPr>
            </w:pPr>
            <w:r w:rsidRPr="00346A9B">
              <w:rPr>
                <w:rFonts w:ascii="Times New Roman" w:hAnsi="Times New Roman" w:cs="Times New Roman"/>
                <w:b/>
                <w:i/>
              </w:rPr>
              <w:t>3.3.2 Nepriame finančné náklady</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7E6051" w:rsidRPr="00346A9B" w:rsidTr="00984BE6">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Návrh zákona stanovuje cestovným kanceláriám zvýšené informačné povinnosti nielen vo vzťahu k cestujúcim (napr. poskytovanie informačných formulárov pred každým podpisom zmluvy o zájazde) ale aj poskytovateľom ochrany pre prípad úpadku – bankám a poisťovniam (napr. predkladanie štvrťročných účtovných závierok a podobne) rovnako tak voči štátnym orgánom (nahlasovanie zmien do zoznamu cestovných kancelárií). Táto zvýšená administratívna záťaž sa môže negatívne prejaviť v oblasti vzniknutých nepriamych finančných nákladov, nakoľko bude potrebné, aby cestovné kancelárie zabezpečovali materiály za účelom splnenia týchto povinností. Na druhej strane majú možnosť zabezpečovať väčšiu časť týchto informácií aj prostredníctvom využitia elektronickej formy komunikácie, čo môže tieto náklady znížiť.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Nakoľko sa návrhom zákona zvyšuje hranica poistnej sumy alebo bankovej záruky v rámci zabezpečenia ochrany pre prípad úpadku z 25 % na 30 % ročných plánovaných tržieb z predaja zájazdov a spojených cestovných služieb (pričom ak budú tieto tržby nižšie ako v predchádzajúcom roku, cestovná kancelária je povinná dohodnúť poistnú sumu alebo bankovú záruku vo výške najmenej 30% tržieb z predaja zájazdov a sprostredkovania spojených cestovných služieb v predchádzajúcom roku), môže sa toto navýšenie premietnuť do konečnej ceny zájazdov alebo spojených cestovných služieb pre cestujúcich.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Pretože je v týchto prípadoch potrebné vziať do úvahy aj individuálne možnosti jednotlivých podnikateľských subjektov (napr. personálne alebo materiálne vybavenie) nie je možné tieto nepriame finančné nálady generalizovať a adekvátne kvantifikovať. Navyše si konečné podmienky samotných zmlúv zabezpečujúcich ochranu pre prípad úpadku budú jednotlivé cestovné kancelárie dohadovať s poskytovateľmi ochrany pre prípad úpadku individuálne a je výlučne na týchto subjektoch, aké podmienky budú jednotlivé zmluvy obsahovať (za predpokladu, že budú v súlade s návrhom zákona), a tiež záleží od samotných cestovných kancelárií či tieto náklady aj reálne premietnu do cien zájazdov alebo spojených cestovných služieb, preto nie je možné ani tieto nepriame finančné náklady kvantifikovať. </w:t>
            </w: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b/>
                <w:i/>
              </w:rPr>
            </w:pPr>
            <w:r w:rsidRPr="00346A9B">
              <w:rPr>
                <w:rFonts w:ascii="Times New Roman" w:hAnsi="Times New Roman" w:cs="Times New Roman"/>
                <w:b/>
                <w:i/>
              </w:rPr>
              <w:lastRenderedPageBreak/>
              <w:t>3.3.3 Administratívne náklady</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7E6051" w:rsidRPr="00346A9B" w:rsidTr="00984BE6">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Návrh zákona kladie zvýšené administratívne povinnosti cestovným kanceláriám, a to najmä z dôvodu zvýšených informačných povinnosti:</w:t>
            </w:r>
          </w:p>
          <w:p w:rsidR="007E6051" w:rsidRPr="00346A9B" w:rsidRDefault="007E6051" w:rsidP="007E6051">
            <w:pPr>
              <w:pStyle w:val="Odsekzoznamu"/>
              <w:numPr>
                <w:ilvl w:val="0"/>
                <w:numId w:val="1"/>
              </w:numPr>
              <w:tabs>
                <w:tab w:val="clear" w:pos="360"/>
                <w:tab w:val="num" w:pos="284"/>
              </w:tabs>
              <w:ind w:left="284" w:hanging="284"/>
              <w:jc w:val="both"/>
              <w:rPr>
                <w:rFonts w:ascii="Times New Roman" w:hAnsi="Times New Roman" w:cs="Times New Roman"/>
                <w:sz w:val="24"/>
                <w:szCs w:val="24"/>
              </w:rPr>
            </w:pPr>
            <w:r w:rsidRPr="00346A9B">
              <w:rPr>
                <w:rFonts w:ascii="Times New Roman" w:hAnsi="Times New Roman" w:cs="Times New Roman"/>
                <w:sz w:val="24"/>
                <w:szCs w:val="24"/>
              </w:rPr>
              <w:t xml:space="preserve">vo vzťahu k cestujúcim pri poskytovaní predzmluvných informácií (§§ 14 - 15), pri poskytovaní ďalších informácií po uzatvorení zmluvy o zájazde v prípade, ak sa zmenia podmienky zmluvy o zájazde pred začiatkom zájazdu (§§ 18-21) a iných, </w:t>
            </w:r>
          </w:p>
          <w:p w:rsidR="007E6051" w:rsidRPr="00346A9B" w:rsidRDefault="007E6051" w:rsidP="007E6051">
            <w:pPr>
              <w:pStyle w:val="Odsekzoznamu"/>
              <w:numPr>
                <w:ilvl w:val="0"/>
                <w:numId w:val="1"/>
              </w:numPr>
              <w:tabs>
                <w:tab w:val="clear" w:pos="360"/>
                <w:tab w:val="num" w:pos="284"/>
              </w:tabs>
              <w:ind w:left="284" w:hanging="284"/>
              <w:jc w:val="both"/>
              <w:rPr>
                <w:rFonts w:ascii="Times New Roman" w:hAnsi="Times New Roman" w:cs="Times New Roman"/>
                <w:sz w:val="24"/>
              </w:rPr>
            </w:pPr>
            <w:r w:rsidRPr="00346A9B">
              <w:rPr>
                <w:rFonts w:ascii="Times New Roman" w:hAnsi="Times New Roman" w:cs="Times New Roman"/>
                <w:sz w:val="24"/>
              </w:rPr>
              <w:t>vo vzťahu k poskytovateľom ochrany pre prípad úpadku, napr. predkladanie účtovnej závierky, štvrťročných účtovných závierok alebo iných dokumentov (§§ 11-12)</w:t>
            </w:r>
          </w:p>
          <w:p w:rsidR="007E6051" w:rsidRPr="00346A9B" w:rsidRDefault="007E6051" w:rsidP="007E6051">
            <w:pPr>
              <w:pStyle w:val="Odsekzoznamu"/>
              <w:numPr>
                <w:ilvl w:val="0"/>
                <w:numId w:val="1"/>
              </w:numPr>
              <w:tabs>
                <w:tab w:val="clear" w:pos="360"/>
                <w:tab w:val="num" w:pos="284"/>
              </w:tabs>
              <w:ind w:left="284" w:hanging="284"/>
              <w:jc w:val="both"/>
              <w:rPr>
                <w:rFonts w:ascii="Times New Roman" w:hAnsi="Times New Roman" w:cs="Times New Roman"/>
                <w:sz w:val="24"/>
              </w:rPr>
            </w:pPr>
            <w:r w:rsidRPr="00346A9B">
              <w:rPr>
                <w:rFonts w:ascii="Times New Roman" w:hAnsi="Times New Roman" w:cs="Times New Roman"/>
                <w:sz w:val="24"/>
              </w:rPr>
              <w:t>vo vzťahu k Ministerstvu dopravy a výstavby Slovenskej republiky, napr. pri plnení informačných povinností súvisiacich so zverejňovaním zoznamu cestovných kancelárií (§11) ako aj iné informačné povinnosti súvisiace s možnosťou cezhraničného predaja zájazdov a spojených cestovných služieb (§7) .</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Okrem toho musia cestovné kancelárie a cestovné agentúry zabezpečiť splnenie všetkých povinností podľa §§7-8. </w:t>
            </w: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Návrh zákona rovnako kladie zvýšenú administratívnu záťaž aj na subjekty poskytujúce ochranu pre prípad úpadku, a to vo vzťahu k cestovným kanceláriám (napr. prijímanie a posudzovanie štvrťročných účtovných závierok podľa §12) alebo voči štátnym orgánom (nahlasovanie zmien do zoznamu cestovných kancelárií podľa § 11 a § 13). Vykonávanie týchto povinností sa môže odraziť vo vzniku administratívnych nákladov pre tieto subjekty.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b/>
                <w:i/>
              </w:rPr>
            </w:pPr>
            <w:r w:rsidRPr="00346A9B">
              <w:rPr>
                <w:rFonts w:ascii="Times New Roman" w:hAnsi="Times New Roman" w:cs="Times New Roman"/>
              </w:rPr>
              <w:t xml:space="preserve">Administratívne náklady na jeden podnikateľský subjekt je možné v priemere vyčísliť na približne 500 Eur ročne. Nakoľko je v týchto prípadoch potrebné vziať do úvahy aj individuálne možnosti jednotlivých podnikateľských subjektov (napr. personálne alebo materiálne vybavenie), zvýhodnenie podmienok v rámci poskytovania zájazdov a spojených cestovných služieb aj v iných členských štátoch, a takisto aj množstvo predaných zájazdov a spojených cestovných služieb jednotlivými subjektmi, nie je možné tieto nálady na celé podnikateľské prostredie generalizovať a adekvátne kvantifikovať. Administratívne náklady na celé podnikateľské prostredie nie je možné vyčísliť aj z dôvodu, že sa návrhom zákona zavádza nový inštitút spojených cestovných služieb, ktorý sa netýka iba aktuálne podnikajúcich cestovných kancelárií a cestovných agentúr, ale môže sa dotknúť aj iných subjektov (ubytovacích zariadení, prepravných spoločností atď.), pričom nie je možné odhadnúť reakciu podnikateľského prostredia na využívanie tohto inštitútu v praxi.  </w:t>
            </w:r>
          </w:p>
        </w:tc>
      </w:tr>
      <w:tr w:rsidR="007E6051" w:rsidRPr="00346A9B" w:rsidTr="00984BE6">
        <w:trPr>
          <w:trHeight w:val="2318"/>
        </w:trPr>
        <w:tc>
          <w:tcPr>
            <w:tcW w:w="9212" w:type="dxa"/>
            <w:tcBorders>
              <w:bottom w:val="single" w:sz="4" w:space="0" w:color="auto"/>
            </w:tcBorders>
          </w:tcPr>
          <w:p w:rsidR="007E6051" w:rsidRPr="00346A9B" w:rsidRDefault="007E6051" w:rsidP="00984BE6">
            <w:pPr>
              <w:rPr>
                <w:rFonts w:ascii="Times New Roman" w:hAnsi="Times New Roman" w:cs="Times New Roman"/>
                <w:i/>
              </w:rPr>
            </w:pPr>
            <w:r w:rsidRPr="00346A9B">
              <w:rPr>
                <w:rFonts w:ascii="Times New Roman" w:hAnsi="Times New Roman" w:cs="Times New Roman"/>
                <w:b/>
                <w:i/>
              </w:rPr>
              <w:lastRenderedPageBreak/>
              <w:t>3.3.4 Súhrnná tabuľka nákladov regulácie</w:t>
            </w:r>
          </w:p>
          <w:p w:rsidR="007E6051" w:rsidRPr="00346A9B" w:rsidRDefault="007E6051" w:rsidP="00984BE6">
            <w:pPr>
              <w:rPr>
                <w:rFonts w:ascii="Times New Roman" w:hAnsi="Times New Roman" w:cs="Times New Roman"/>
                <w:i/>
              </w:rPr>
            </w:pPr>
          </w:p>
          <w:tbl>
            <w:tblPr>
              <w:tblStyle w:val="Mriekatabuky"/>
              <w:tblW w:w="0" w:type="auto"/>
              <w:tblLook w:val="04A0" w:firstRow="1" w:lastRow="0" w:firstColumn="1" w:lastColumn="0" w:noHBand="0" w:noVBand="1"/>
            </w:tblPr>
            <w:tblGrid>
              <w:gridCol w:w="2993"/>
              <w:gridCol w:w="2994"/>
              <w:gridCol w:w="2994"/>
            </w:tblGrid>
            <w:tr w:rsidR="007E6051" w:rsidRPr="00346A9B" w:rsidTr="00984BE6">
              <w:tc>
                <w:tcPr>
                  <w:tcW w:w="2993" w:type="dxa"/>
                </w:tcPr>
                <w:p w:rsidR="007E6051" w:rsidRPr="00346A9B" w:rsidRDefault="007E6051" w:rsidP="00984BE6">
                  <w:pPr>
                    <w:rPr>
                      <w:rFonts w:ascii="Times New Roman" w:hAnsi="Times New Roman" w:cs="Times New Roman"/>
                      <w:i/>
                    </w:rPr>
                  </w:pP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Náklady na 1 podnikateľa</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Náklady na celé podnikateľské prostredie</w:t>
                  </w:r>
                </w:p>
              </w:tc>
            </w:tr>
            <w:tr w:rsidR="007E6051" w:rsidRPr="00346A9B" w:rsidTr="00984BE6">
              <w:tc>
                <w:tcPr>
                  <w:tcW w:w="2993" w:type="dxa"/>
                </w:tcPr>
                <w:p w:rsidR="007E6051" w:rsidRPr="00346A9B" w:rsidRDefault="007E6051" w:rsidP="00984BE6">
                  <w:pPr>
                    <w:rPr>
                      <w:rFonts w:ascii="Times New Roman" w:hAnsi="Times New Roman" w:cs="Times New Roman"/>
                      <w:i/>
                    </w:rPr>
                  </w:pPr>
                  <w:r w:rsidRPr="00346A9B">
                    <w:rPr>
                      <w:rFonts w:ascii="Times New Roman" w:hAnsi="Times New Roman" w:cs="Times New Roman"/>
                      <w:i/>
                    </w:rPr>
                    <w:t>Priame finančné náklady</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0</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0</w:t>
                  </w:r>
                </w:p>
              </w:tc>
            </w:tr>
            <w:tr w:rsidR="007E6051" w:rsidRPr="00346A9B" w:rsidTr="00984BE6">
              <w:tc>
                <w:tcPr>
                  <w:tcW w:w="2993" w:type="dxa"/>
                </w:tcPr>
                <w:p w:rsidR="007E6051" w:rsidRPr="00346A9B" w:rsidRDefault="007E6051" w:rsidP="00984BE6">
                  <w:pPr>
                    <w:rPr>
                      <w:rFonts w:ascii="Times New Roman" w:hAnsi="Times New Roman" w:cs="Times New Roman"/>
                      <w:i/>
                    </w:rPr>
                  </w:pPr>
                  <w:r w:rsidRPr="00346A9B">
                    <w:rPr>
                      <w:rFonts w:ascii="Times New Roman" w:hAnsi="Times New Roman" w:cs="Times New Roman"/>
                      <w:i/>
                    </w:rPr>
                    <w:t>Nepriame finančné náklady</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N/A</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N/A</w:t>
                  </w:r>
                </w:p>
              </w:tc>
            </w:tr>
            <w:tr w:rsidR="007E6051" w:rsidRPr="00346A9B" w:rsidTr="00984BE6">
              <w:tc>
                <w:tcPr>
                  <w:tcW w:w="2993" w:type="dxa"/>
                </w:tcPr>
                <w:p w:rsidR="007E6051" w:rsidRPr="00346A9B" w:rsidRDefault="007E6051" w:rsidP="00984BE6">
                  <w:pPr>
                    <w:rPr>
                      <w:rFonts w:ascii="Times New Roman" w:hAnsi="Times New Roman" w:cs="Times New Roman"/>
                      <w:i/>
                    </w:rPr>
                  </w:pPr>
                  <w:r w:rsidRPr="00346A9B">
                    <w:rPr>
                      <w:rFonts w:ascii="Times New Roman" w:hAnsi="Times New Roman" w:cs="Times New Roman"/>
                      <w:i/>
                    </w:rPr>
                    <w:t>Administratívne náklady</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500</w:t>
                  </w:r>
                </w:p>
              </w:tc>
              <w:tc>
                <w:tcPr>
                  <w:tcW w:w="2994" w:type="dxa"/>
                </w:tcPr>
                <w:p w:rsidR="007E6051" w:rsidRPr="00346A9B" w:rsidRDefault="007E6051" w:rsidP="00984BE6">
                  <w:pPr>
                    <w:jc w:val="center"/>
                    <w:rPr>
                      <w:rFonts w:ascii="Times New Roman" w:hAnsi="Times New Roman" w:cs="Times New Roman"/>
                      <w:i/>
                    </w:rPr>
                  </w:pPr>
                  <w:r w:rsidRPr="00346A9B">
                    <w:rPr>
                      <w:rFonts w:ascii="Times New Roman" w:hAnsi="Times New Roman" w:cs="Times New Roman"/>
                      <w:i/>
                    </w:rPr>
                    <w:t>N/A</w:t>
                  </w:r>
                </w:p>
              </w:tc>
            </w:tr>
            <w:tr w:rsidR="007E6051" w:rsidRPr="00346A9B" w:rsidTr="00984BE6">
              <w:tc>
                <w:tcPr>
                  <w:tcW w:w="2993" w:type="dxa"/>
                </w:tcPr>
                <w:p w:rsidR="007E6051" w:rsidRPr="00346A9B" w:rsidRDefault="007E6051" w:rsidP="00984BE6">
                  <w:pPr>
                    <w:rPr>
                      <w:rFonts w:ascii="Times New Roman" w:hAnsi="Times New Roman" w:cs="Times New Roman"/>
                      <w:b/>
                      <w:i/>
                    </w:rPr>
                  </w:pPr>
                  <w:r w:rsidRPr="00346A9B">
                    <w:rPr>
                      <w:rFonts w:ascii="Times New Roman" w:hAnsi="Times New Roman" w:cs="Times New Roman"/>
                      <w:b/>
                      <w:i/>
                    </w:rPr>
                    <w:t>Celkové náklady regulácie</w:t>
                  </w:r>
                </w:p>
              </w:tc>
              <w:tc>
                <w:tcPr>
                  <w:tcW w:w="2994" w:type="dxa"/>
                </w:tcPr>
                <w:p w:rsidR="007E6051" w:rsidRPr="00346A9B" w:rsidRDefault="007E6051" w:rsidP="00984BE6">
                  <w:pPr>
                    <w:jc w:val="center"/>
                    <w:rPr>
                      <w:rFonts w:ascii="Times New Roman" w:hAnsi="Times New Roman" w:cs="Times New Roman"/>
                      <w:b/>
                      <w:i/>
                    </w:rPr>
                  </w:pPr>
                  <w:r w:rsidRPr="00346A9B">
                    <w:rPr>
                      <w:rFonts w:ascii="Times New Roman" w:hAnsi="Times New Roman" w:cs="Times New Roman"/>
                      <w:b/>
                      <w:i/>
                    </w:rPr>
                    <w:t>N/A</w:t>
                  </w:r>
                </w:p>
              </w:tc>
              <w:tc>
                <w:tcPr>
                  <w:tcW w:w="2994" w:type="dxa"/>
                </w:tcPr>
                <w:p w:rsidR="007E6051" w:rsidRPr="00346A9B" w:rsidRDefault="007E6051" w:rsidP="00984BE6">
                  <w:pPr>
                    <w:jc w:val="center"/>
                    <w:rPr>
                      <w:rFonts w:ascii="Times New Roman" w:hAnsi="Times New Roman" w:cs="Times New Roman"/>
                      <w:b/>
                      <w:i/>
                    </w:rPr>
                  </w:pPr>
                  <w:r w:rsidRPr="00346A9B">
                    <w:rPr>
                      <w:rFonts w:ascii="Times New Roman" w:hAnsi="Times New Roman" w:cs="Times New Roman"/>
                      <w:b/>
                      <w:i/>
                    </w:rPr>
                    <w:t>N/A</w:t>
                  </w:r>
                </w:p>
              </w:tc>
            </w:tr>
          </w:tbl>
          <w:p w:rsidR="007E6051" w:rsidRPr="00346A9B" w:rsidRDefault="007E6051" w:rsidP="00984BE6">
            <w:pPr>
              <w:rPr>
                <w:rFonts w:ascii="Times New Roman" w:hAnsi="Times New Roman" w:cs="Times New Roman"/>
                <w:i/>
              </w:rPr>
            </w:pPr>
          </w:p>
        </w:tc>
      </w:tr>
      <w:tr w:rsidR="007E6051" w:rsidRPr="00346A9B" w:rsidTr="00984BE6">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3.4 Konkurencieschopnosť a správanie sa podnikov na trhu</w:t>
            </w:r>
          </w:p>
          <w:p w:rsidR="007E6051" w:rsidRPr="00346A9B" w:rsidRDefault="007E6051" w:rsidP="00984BE6">
            <w:pPr>
              <w:rPr>
                <w:rFonts w:ascii="Times New Roman" w:hAnsi="Times New Roman" w:cs="Times New Roman"/>
              </w:rPr>
            </w:pPr>
            <w:r w:rsidRPr="00346A9B">
              <w:rPr>
                <w:rFonts w:ascii="Times New Roman" w:hAnsi="Times New Roman" w:cs="Times New Roman"/>
                <w:b/>
              </w:rPr>
              <w:t xml:space="preserve">       </w:t>
            </w:r>
            <w:r w:rsidRPr="00346A9B">
              <w:rPr>
                <w:rFonts w:ascii="Times New Roman" w:hAnsi="Times New Roman" w:cs="Times New Roman"/>
              </w:rPr>
              <w:t xml:space="preserve">- </w:t>
            </w:r>
            <w:r w:rsidRPr="00346A9B">
              <w:rPr>
                <w:rFonts w:ascii="Times New Roman" w:hAnsi="Times New Roman" w:cs="Times New Roman"/>
                <w:b/>
              </w:rPr>
              <w:t>z toho MSP</w:t>
            </w:r>
          </w:p>
        </w:tc>
      </w:tr>
      <w:tr w:rsidR="007E6051" w:rsidRPr="00346A9B" w:rsidTr="00984BE6">
        <w:tc>
          <w:tcPr>
            <w:tcW w:w="9212" w:type="dxa"/>
            <w:tcBorders>
              <w:bottom w:val="single" w:sz="4" w:space="0" w:color="auto"/>
            </w:tcBorders>
          </w:tcPr>
          <w:p w:rsidR="007E6051" w:rsidRPr="00346A9B" w:rsidRDefault="007E6051" w:rsidP="00984BE6">
            <w:pPr>
              <w:rPr>
                <w:rFonts w:ascii="Times New Roman" w:hAnsi="Times New Roman" w:cs="Times New Roman"/>
                <w:i/>
              </w:rPr>
            </w:pPr>
            <w:r w:rsidRPr="00346A9B">
              <w:rPr>
                <w:rFonts w:ascii="Times New Roman" w:hAnsi="Times New Roman" w:cs="Times New Roman"/>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346A9B">
              <w:rPr>
                <w:rFonts w:ascii="Times New Roman" w:hAnsi="Times New Roman" w:cs="Times New Roman"/>
                <w:i/>
              </w:rPr>
              <w:t>mikro</w:t>
            </w:r>
            <w:proofErr w:type="spellEnd"/>
            <w:r w:rsidRPr="00346A9B">
              <w:rPr>
                <w:rFonts w:ascii="Times New Roman" w:hAnsi="Times New Roman" w:cs="Times New Roman"/>
                <w:i/>
              </w:rPr>
              <w:t>, malé a stredné podniky tzv. MSP)? Ak áno, popíšte.</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Ako ovplyvní cenu alebo dostupnosť základných zdrojov (suroviny, mechanizmy, pracovná sila, energie atď.)?</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Ovplyvňuje prístup k financiám? Ak áno, ako?</w:t>
            </w:r>
          </w:p>
          <w:p w:rsidR="007E6051" w:rsidRPr="00346A9B" w:rsidRDefault="007E6051" w:rsidP="00984BE6">
            <w:pPr>
              <w:rPr>
                <w:rFonts w:ascii="Times New Roman" w:hAnsi="Times New Roman" w:cs="Times New Roman"/>
                <w:i/>
              </w:rPr>
            </w:pPr>
          </w:p>
        </w:tc>
      </w:tr>
      <w:tr w:rsidR="007E6051" w:rsidRPr="00346A9B" w:rsidTr="00984BE6">
        <w:trPr>
          <w:trHeight w:val="1282"/>
        </w:trPr>
        <w:tc>
          <w:tcPr>
            <w:tcW w:w="9212" w:type="dxa"/>
            <w:tcBorders>
              <w:bottom w:val="single" w:sz="4" w:space="0" w:color="auto"/>
            </w:tcBorders>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Návrh zákona má pozitívny vplyv na konkurencieschopnosť podnikateľských subjektov v postavení cestovných kancelárií. Nakoľko ide o transpozíciu smernice pričom je vyžadovaný úplný stupeň harmonizácie, zjednotia sa základné podmienky cestovného ruchu vo všetkých členských krajinách Európskej únie. V návrhu zákona sú výslovné ustanovenia, ktoré pomôžu cestovným kanceláriám podnikajúcim v iných členských štátoch. Jedným z týchto ustanovení je povinnosť členských štátov uznávať ochranu pre prípad úpadku cestovnej kancelárie z iného členského štátu. Jednotné právne požiadavky v jednotlivých členských štátoch, zabezpečia, že podniky v oblasti cestovných služieb si si budú schopné konkurovať za rovnakých podmienok. Konkurencieschopnosť podnikateľských subjektov sa zvýši aj obmedzením a eliminovaním nekalých praktík podnikania v cestovnom ruchu (napríklad nedostatočným poistným krytím a teda aj nižšími celkovými nákladmi finálnej ceny zájazdu alebo služby), či zohľadnením navrhovanej požiadavky dôveryhodnosti. </w:t>
            </w:r>
          </w:p>
          <w:p w:rsidR="007E6051" w:rsidRPr="00346A9B" w:rsidRDefault="007E6051" w:rsidP="00984BE6">
            <w:pPr>
              <w:jc w:val="both"/>
              <w:rPr>
                <w:rFonts w:ascii="Times New Roman" w:hAnsi="Times New Roman" w:cs="Times New Roman"/>
              </w:rPr>
            </w:pPr>
          </w:p>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 xml:space="preserve">Štandardizoval a zjednotil sa aj charakter informácií, ktoré sú cestovné kancelárie povinné poskytnúť cestujúcim. Nakoľko sa regulovala aj oblasť poskytovania a sprostredkovania spojených cestovných služieb, posilní sa právna istota cestujúcich v tieto služby cestovného ruchu, preto budú títo poskytovatelia schopní konkurovať aj cestovným kanceláriám ponúkajúcim tradičné zájazdy. </w:t>
            </w:r>
          </w:p>
        </w:tc>
      </w:tr>
      <w:tr w:rsidR="007E6051" w:rsidRPr="00346A9B" w:rsidTr="00984BE6">
        <w:tc>
          <w:tcPr>
            <w:tcW w:w="9212" w:type="dxa"/>
            <w:shd w:val="clear" w:color="auto" w:fill="D9D9D9" w:themeFill="background1" w:themeFillShade="D9"/>
          </w:tcPr>
          <w:p w:rsidR="007E6051" w:rsidRPr="00346A9B" w:rsidRDefault="007E6051" w:rsidP="00984BE6">
            <w:pPr>
              <w:rPr>
                <w:rFonts w:ascii="Times New Roman" w:hAnsi="Times New Roman" w:cs="Times New Roman"/>
                <w:b/>
              </w:rPr>
            </w:pPr>
            <w:r w:rsidRPr="00346A9B">
              <w:rPr>
                <w:rFonts w:ascii="Times New Roman" w:hAnsi="Times New Roman" w:cs="Times New Roman"/>
                <w:b/>
              </w:rPr>
              <w:t xml:space="preserve">3.5 Inovácie </w:t>
            </w:r>
          </w:p>
          <w:p w:rsidR="007E6051" w:rsidRPr="00346A9B" w:rsidRDefault="007E6051" w:rsidP="00984BE6">
            <w:pPr>
              <w:rPr>
                <w:rFonts w:ascii="Times New Roman" w:hAnsi="Times New Roman" w:cs="Times New Roman"/>
                <w:b/>
              </w:rPr>
            </w:pPr>
            <w:r w:rsidRPr="00346A9B">
              <w:rPr>
                <w:rFonts w:ascii="Times New Roman" w:hAnsi="Times New Roman" w:cs="Times New Roman"/>
              </w:rPr>
              <w:t xml:space="preserve">       - </w:t>
            </w:r>
            <w:r w:rsidRPr="00346A9B">
              <w:rPr>
                <w:rFonts w:ascii="Times New Roman" w:hAnsi="Times New Roman" w:cs="Times New Roman"/>
                <w:b/>
              </w:rPr>
              <w:t>z toho MSP</w:t>
            </w:r>
          </w:p>
        </w:tc>
      </w:tr>
      <w:tr w:rsidR="007E6051" w:rsidRPr="00346A9B" w:rsidTr="00984BE6">
        <w:tc>
          <w:tcPr>
            <w:tcW w:w="9212" w:type="dxa"/>
          </w:tcPr>
          <w:p w:rsidR="007E6051" w:rsidRPr="00346A9B" w:rsidRDefault="007E6051" w:rsidP="00984BE6">
            <w:pPr>
              <w:rPr>
                <w:rFonts w:ascii="Times New Roman" w:hAnsi="Times New Roman" w:cs="Times New Roman"/>
                <w:i/>
              </w:rPr>
            </w:pPr>
            <w:r w:rsidRPr="00346A9B">
              <w:rPr>
                <w:rFonts w:ascii="Times New Roman" w:hAnsi="Times New Roman" w:cs="Times New Roman"/>
                <w:i/>
              </w:rPr>
              <w:t>Uveďte, ako podporuje navrhovaná zmena inovácie.</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Zjednodušuje uvedenie alebo rozšírenie nových výrobných metód, technológií a výrobkov na trh?</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 xml:space="preserve">Uveďte, ako vplýva navrhovaná zmena na jednotlivé práva duševného vlastníctva (napr. patenty, ochranné známky, autorské práva, vlastníctvo </w:t>
            </w:r>
            <w:proofErr w:type="spellStart"/>
            <w:r w:rsidRPr="00346A9B">
              <w:rPr>
                <w:rFonts w:ascii="Times New Roman" w:hAnsi="Times New Roman" w:cs="Times New Roman"/>
                <w:i/>
              </w:rPr>
              <w:t>know-how</w:t>
            </w:r>
            <w:proofErr w:type="spellEnd"/>
            <w:r w:rsidRPr="00346A9B">
              <w:rPr>
                <w:rFonts w:ascii="Times New Roman" w:hAnsi="Times New Roman" w:cs="Times New Roman"/>
                <w:i/>
              </w:rPr>
              <w:t>).</w:t>
            </w:r>
          </w:p>
          <w:p w:rsidR="007E6051" w:rsidRPr="00346A9B" w:rsidRDefault="007E6051" w:rsidP="00984BE6">
            <w:pPr>
              <w:rPr>
                <w:rFonts w:ascii="Times New Roman" w:hAnsi="Times New Roman" w:cs="Times New Roman"/>
                <w:i/>
              </w:rPr>
            </w:pPr>
            <w:r w:rsidRPr="00346A9B">
              <w:rPr>
                <w:rFonts w:ascii="Times New Roman" w:hAnsi="Times New Roman" w:cs="Times New Roman"/>
                <w:i/>
              </w:rPr>
              <w:t>Podporuje vyššiu efektivitu výroby/využívania zdrojov? Ak áno, ako?</w:t>
            </w:r>
          </w:p>
          <w:p w:rsidR="007E6051" w:rsidRPr="00346A9B" w:rsidRDefault="007E6051" w:rsidP="00984BE6">
            <w:pPr>
              <w:rPr>
                <w:rFonts w:ascii="Times New Roman" w:hAnsi="Times New Roman" w:cs="Times New Roman"/>
              </w:rPr>
            </w:pPr>
            <w:r w:rsidRPr="00346A9B">
              <w:rPr>
                <w:rFonts w:ascii="Times New Roman" w:hAnsi="Times New Roman" w:cs="Times New Roman"/>
                <w:i/>
              </w:rPr>
              <w:t>Vytvorí zmena nové pracovné miesta pre zamestnancov výskumu a vývoja v SR?</w:t>
            </w:r>
          </w:p>
        </w:tc>
      </w:tr>
      <w:tr w:rsidR="007E6051" w:rsidRPr="00346A9B" w:rsidTr="00984BE6">
        <w:trPr>
          <w:trHeight w:val="1747"/>
        </w:trPr>
        <w:tc>
          <w:tcPr>
            <w:tcW w:w="9212" w:type="dxa"/>
          </w:tcPr>
          <w:p w:rsidR="007E6051" w:rsidRPr="00346A9B" w:rsidRDefault="007E6051" w:rsidP="00984BE6">
            <w:pPr>
              <w:jc w:val="both"/>
              <w:rPr>
                <w:rFonts w:ascii="Times New Roman" w:hAnsi="Times New Roman" w:cs="Times New Roman"/>
              </w:rPr>
            </w:pPr>
            <w:r w:rsidRPr="00346A9B">
              <w:rPr>
                <w:rFonts w:ascii="Times New Roman" w:hAnsi="Times New Roman" w:cs="Times New Roman"/>
              </w:rPr>
              <w:t>Návrh zákona nevyvolá priamo vplyv na inovácie. Je však možné, že podnieti jednotlivé podnikateľské subjekty k lepšej elektronizácii tokov informácii vzhľadom k tomu, že spôsob sprístupnenia informácii elektronicky je často žiadaná forma sprístupnenia informácie, rovnako ako je elektronická komunikácia často efektívnejšia a rýchlejšia.</w:t>
            </w:r>
          </w:p>
          <w:p w:rsidR="007E6051" w:rsidRPr="00346A9B" w:rsidRDefault="007E6051" w:rsidP="00984BE6">
            <w:pPr>
              <w:jc w:val="both"/>
              <w:rPr>
                <w:rFonts w:ascii="Times New Roman" w:hAnsi="Times New Roman" w:cs="Times New Roman"/>
                <w:i/>
              </w:rPr>
            </w:pPr>
          </w:p>
        </w:tc>
      </w:tr>
    </w:tbl>
    <w:p w:rsidR="00327746" w:rsidRPr="00346A9B" w:rsidRDefault="00327746"/>
    <w:sectPr w:rsidR="00327746" w:rsidRPr="00346A9B" w:rsidSect="00D7150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A5E"/>
    <w:multiLevelType w:val="hybridMultilevel"/>
    <w:tmpl w:val="83C2295C"/>
    <w:lvl w:ilvl="0" w:tplc="892E48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9D0156A"/>
    <w:multiLevelType w:val="hybridMultilevel"/>
    <w:tmpl w:val="8CCCDC22"/>
    <w:lvl w:ilvl="0" w:tplc="D1D220B2">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51"/>
    <w:rsid w:val="00091CE1"/>
    <w:rsid w:val="000F202F"/>
    <w:rsid w:val="00327746"/>
    <w:rsid w:val="00346A9B"/>
    <w:rsid w:val="007E6051"/>
    <w:rsid w:val="00930736"/>
    <w:rsid w:val="00B33A04"/>
    <w:rsid w:val="00D71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051"/>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E605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E605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E6051"/>
    <w:rPr>
      <w:rFonts w:ascii="Tahoma" w:hAnsi="Tahoma" w:cs="Tahoma"/>
      <w:sz w:val="16"/>
      <w:szCs w:val="16"/>
    </w:rPr>
  </w:style>
  <w:style w:type="character" w:customStyle="1" w:styleId="TextbublinyChar">
    <w:name w:val="Text bubliny Char"/>
    <w:basedOn w:val="Predvolenpsmoodseku"/>
    <w:link w:val="Textbubliny"/>
    <w:uiPriority w:val="99"/>
    <w:semiHidden/>
    <w:rsid w:val="007E6051"/>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6051"/>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E605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E605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E6051"/>
    <w:rPr>
      <w:rFonts w:ascii="Tahoma" w:hAnsi="Tahoma" w:cs="Tahoma"/>
      <w:sz w:val="16"/>
      <w:szCs w:val="16"/>
    </w:rPr>
  </w:style>
  <w:style w:type="character" w:customStyle="1" w:styleId="TextbublinyChar">
    <w:name w:val="Text bubliny Char"/>
    <w:basedOn w:val="Predvolenpsmoodseku"/>
    <w:link w:val="Textbubliny"/>
    <w:uiPriority w:val="99"/>
    <w:semiHidden/>
    <w:rsid w:val="007E6051"/>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2315</Words>
  <Characters>13202</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Viraghova Veronika</dc:creator>
  <cp:lastModifiedBy>Jokmanova Diana</cp:lastModifiedBy>
  <cp:revision>2</cp:revision>
  <cp:lastPrinted>2018-02-07T08:49:00Z</cp:lastPrinted>
  <dcterms:created xsi:type="dcterms:W3CDTF">2018-02-14T08:59:00Z</dcterms:created>
  <dcterms:modified xsi:type="dcterms:W3CDTF">2018-02-14T08:59:00Z</dcterms:modified>
</cp:coreProperties>
</file>