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 w:rsidR="00076A83" w:rsidRPr="00E408FD" w:rsidTr="0056013F"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408FD">
              <w:rPr>
                <w:caps/>
                <w:sz w:val="20"/>
              </w:rPr>
              <w:t xml:space="preserve">Tabuľka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RDefault="00076A83" w:rsidP="0056013F">
            <w:pPr>
              <w:rPr>
                <w:b/>
                <w:bCs/>
                <w:sz w:val="20"/>
                <w:szCs w:val="20"/>
              </w:rPr>
            </w:pPr>
            <w:r w:rsidRPr="00E408FD">
              <w:rPr>
                <w:b/>
                <w:bCs/>
                <w:sz w:val="20"/>
                <w:szCs w:val="20"/>
              </w:rPr>
              <w:t xml:space="preserve">NA ÚČELY OZNÁMENIA </w:t>
            </w:r>
            <w:r w:rsidR="004603EF">
              <w:rPr>
                <w:b/>
                <w:bCs/>
                <w:sz w:val="20"/>
                <w:szCs w:val="20"/>
              </w:rPr>
              <w:t>TRANSPOZÍCIE SMERNICE 2005/89/ES</w:t>
            </w:r>
          </w:p>
        </w:tc>
      </w:tr>
      <w:tr w:rsidR="00076A83" w:rsidRPr="00E408FD" w:rsidTr="0056013F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4603EF" w:rsidRDefault="004603EF" w:rsidP="004603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603EF">
              <w:rPr>
                <w:b/>
                <w:sz w:val="20"/>
                <w:szCs w:val="20"/>
              </w:rPr>
              <w:t>mernice Európskeho parlamentu a Rady 2005/89/ES z 18. januára 2006 o opatreniach na zabezpečenie bezpečnosti dodávok elektrickej energie a investícií do infraštruktúry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Návrh zákona, ktorým sa mení a dopĺňa zákon č. 251/2012 Z. z. o energetike a o zmene a doplnení niektorých zákonov v znení neskorších predpisov (ďalej len „Návrh </w:t>
            </w:r>
            <w:proofErr w:type="spellStart"/>
            <w:r w:rsidRPr="00E408FD">
              <w:rPr>
                <w:sz w:val="20"/>
                <w:szCs w:val="20"/>
              </w:rPr>
              <w:t>ZoE</w:t>
            </w:r>
            <w:proofErr w:type="spellEnd"/>
            <w:r w:rsidRPr="00E408FD">
              <w:rPr>
                <w:sz w:val="20"/>
                <w:szCs w:val="20"/>
              </w:rPr>
              <w:t>“).</w:t>
            </w:r>
          </w:p>
          <w:p w:rsidR="00076A83" w:rsidRPr="00E408FD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8</w:t>
            </w: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(Č, O,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Spôsob </w:t>
            </w:r>
            <w:proofErr w:type="spellStart"/>
            <w:r w:rsidRPr="00E408FD">
              <w:t>transp</w:t>
            </w:r>
            <w:proofErr w:type="spellEnd"/>
            <w:r w:rsidRPr="00E408FD">
              <w:t>.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(N, O, D, </w:t>
            </w:r>
            <w:proofErr w:type="spellStart"/>
            <w:r w:rsidRPr="00E408FD">
              <w:t>n.a</w:t>
            </w:r>
            <w:proofErr w:type="spellEnd"/>
            <w:r w:rsidRPr="00E408FD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Poznámky</w:t>
            </w:r>
          </w:p>
          <w:p w:rsidR="00076A83" w:rsidRPr="00E408FD" w:rsidRDefault="00076A83" w:rsidP="0056013F">
            <w:pPr>
              <w:pStyle w:val="Normlny0"/>
              <w:ind w:right="-43"/>
              <w:jc w:val="center"/>
            </w:pPr>
            <w:r w:rsidRPr="00E408FD">
              <w:t>(pri návrhu predpisu – predpokladaný dátum účinnosti**)</w:t>
            </w:r>
          </w:p>
        </w:tc>
      </w:tr>
      <w:tr w:rsidR="005D5EA6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EA6" w:rsidRDefault="005D5EA6" w:rsidP="0056013F">
            <w:pPr>
              <w:pStyle w:val="Normlny0"/>
            </w:pPr>
            <w:r>
              <w:t>Čl. 4</w:t>
            </w:r>
          </w:p>
          <w:p w:rsidR="005D5EA6" w:rsidRPr="00E408FD" w:rsidRDefault="00227E36" w:rsidP="0056013F">
            <w:pPr>
              <w:pStyle w:val="Normlny0"/>
            </w:pPr>
            <w:r>
              <w:t>O: 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227E36" w:rsidP="005D5EA6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27E36">
              <w:rPr>
                <w:sz w:val="20"/>
                <w:szCs w:val="20"/>
              </w:rPr>
              <w:t>Členské štáty zabezpečia, aby sa obmedzenie dodávok v núdzových situáciách uskutočňovalo podľa vopred stanovených kritérií riadenia nerovnováhy prevádzkovateľmi prenosových sústav. Ochranné opatrenia sa prijímajú po porade s ďalšími významnými prevádzkovateľmi prenosových sústav pri dodržiavaní príslušných dvojstranných dohôd vrátane dohôd o výmene informácií.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6013F">
            <w:pPr>
              <w:pStyle w:val="Normlny0"/>
              <w:jc w:val="center"/>
            </w:pPr>
            <w:r>
              <w:t xml:space="preserve">Návrh </w:t>
            </w:r>
            <w:proofErr w:type="spellStart"/>
            <w:r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227E36">
            <w:pPr>
              <w:pStyle w:val="Normlny0"/>
              <w:jc w:val="center"/>
            </w:pPr>
            <w:r>
              <w:t xml:space="preserve">§ </w:t>
            </w:r>
            <w:r w:rsidR="00227E36">
              <w:t>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6" w:rsidRPr="00227E36" w:rsidRDefault="00227E36" w:rsidP="00227E36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§ 20 vrátane nadpisu znie: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„§ 20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Stav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, predchádzanie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a skúška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(1) Stavom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je náhly nedostatok alebo hroziaci nedostatok elektriny, zmena frekvencie v sústave nad alebo pod úroveň určenú pre technické prostriedky zabezpečujúce automatické odpájanie zariadení od sústavy v súlade s technickými podmienkami prevádzkovateľa prenosovej sústavy podľa § 19 alebo prerušenie paralelnej prevádzky prenosových sústav, ktoré môže spôsobiť významné zníženie alebo prerušenie dodávok elektriny alebo vyradenie energetických zariadení z činnosti alebo ohrozenie života a zdravia ľudí na vymedzenom území alebo na časti vymedzeného územia v dôsledku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a)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mimoriadnej udalosti alebo krízovej situácie,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42</w:t>
            </w:r>
            <w:r w:rsidRPr="00227E36">
              <w:rPr>
                <w:bCs/>
                <w:sz w:val="20"/>
                <w:szCs w:val="20"/>
                <w:lang w:eastAsia="en-US"/>
              </w:rPr>
              <w:t>)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b)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opatrení hospodárskej mobilizácie,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43</w:t>
            </w:r>
            <w:r w:rsidRPr="00227E36">
              <w:rPr>
                <w:bCs/>
                <w:sz w:val="20"/>
                <w:szCs w:val="20"/>
                <w:lang w:eastAsia="en-US"/>
              </w:rPr>
              <w:t>)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c)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havárií na zariadeniach pre výrobu, prenos a distribúciu elektriny aj mimo vymedzeného územia,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lastRenderedPageBreak/>
              <w:t>d)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ohrozenia bezpečnosti a spoľahlivosti prevádzky sústavy,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e)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nevyrovnanej bilancie sústavy alebo jej časti,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f)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trestného činu terorizmu.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43a</w:t>
            </w:r>
            <w:r w:rsidRPr="00227E36">
              <w:rPr>
                <w:bCs/>
                <w:sz w:val="20"/>
                <w:szCs w:val="20"/>
                <w:lang w:eastAsia="en-US"/>
              </w:rPr>
              <w:t>)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(2) Predchádzaním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je súbor opatrení a postupov, vrátane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, ktoré sa uplatňujú, ak hrozí stav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(3) Skúškou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je overenie súboru opatrení a postupov, vrátane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, uplatňovaných pri stave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alebo pri predchádzaní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(4) Obmedzujúcimi opatreniami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sú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a)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obmedzenie spotreby elektriny,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b)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prerušenie distribúcie elektriny,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c)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zmena hodnoty výkonu dodávaného výrobcom elektriny do sústavy,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d)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použitie voľných výrobných kapacít,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e)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operatívne vypnutie časti zariadenia v rozsahu nevyhnutnom pre vyrovnanie výkonovej bilancie dotknutej časti sústavy,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f)</w:t>
            </w:r>
            <w:r w:rsidRPr="00227E36">
              <w:rPr>
                <w:bCs/>
                <w:sz w:val="20"/>
                <w:szCs w:val="20"/>
                <w:lang w:eastAsia="en-US"/>
              </w:rPr>
              <w:tab/>
              <w:t>opatrenia pre obnovu prenosu a distribúcie elektriny.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(5)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na vymedzenom území alebo na časti vymedzeného územia po posúdení dôsledkov podľa odseku 1 vyhlasuje a odvoláva prevádzkovateľ prenosovej sústavy vo verejnoprávnych hromadných oznamovacích prostriedkoch a pomocou prostriedkov </w:t>
            </w:r>
            <w:r w:rsidRPr="00227E36">
              <w:rPr>
                <w:bCs/>
                <w:sz w:val="20"/>
                <w:szCs w:val="20"/>
                <w:lang w:eastAsia="en-US"/>
              </w:rPr>
              <w:lastRenderedPageBreak/>
              <w:t xml:space="preserve">dispečerského riadenia. Prevádzkovateľ prenosovej sústavy vyhlásenie a odvolanie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bezodkladne oznamuje ministerstvu. Prevádzkovateľ prenosovej sústavy vyhlasuje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pred prijatím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; to neplatí pri rozpade sústavy alebo hrozbe rozpadu sústavy, kedy je prevádzkovateľ prenosovej sústavy oprávnený vyhlásiť stav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dodatočne. Dodatočné vyhlásenie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uskutoční prevádzkovateľ prenosovej sústavy bezodkladne po prijatí opatrení nevyhnutných na ochranu a obnovu sústavy, pričom v dodatočnom vyhlásení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určí presný čas, v ktorom nastal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; tento čas sa považuje za čas vyhlásenia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(6) Prevádzkovateľ prenosovej sústavy je oprávnený vykonať skúšku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v súlade s technickými podmienkami prevádzkovateľa prenosovej sústavy podľa § 19 v rozsahu nevyhnutnom na zabezpečenie bezpečnosti a spoľahlivosti prevádzky sústavy. Počas skúšky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je možné realizovať všetky obmedzujúce opatrenia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podľa odseku 4. Počas skúšky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sa neuplatňujú štandardy kvality podľa osobitného predpisu.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43b</w:t>
            </w:r>
            <w:r w:rsidRPr="00227E36">
              <w:rPr>
                <w:bCs/>
                <w:sz w:val="20"/>
                <w:szCs w:val="20"/>
                <w:lang w:eastAsia="en-US"/>
              </w:rPr>
              <w:t xml:space="preserve">) Každý účastník trhu s elektrinou je povinný poskytnúť prevádzkovateľovi prenosovej sústavy pri skúške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a príprave na túto skúšku potrebnú súčinnosť a dodržiavať pokyny prevádzkovateľa prenosovej sústavy. Vyhodnotenie a zúčtovanie </w:t>
            </w:r>
            <w:r w:rsidRPr="00227E36">
              <w:rPr>
                <w:bCs/>
                <w:sz w:val="20"/>
                <w:szCs w:val="20"/>
                <w:lang w:eastAsia="en-US"/>
              </w:rPr>
              <w:lastRenderedPageBreak/>
              <w:t xml:space="preserve">odchýlok a regulačnej elektriny pri skúške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sa uskutočňuje v rozsahu podľa pravidiel trhu. Úrad zohľadní náklady na vykonanie skúšok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v navrhovanom spôsobe cenovej regulácie. 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(7) Obmedzujúce opatrenia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pri stave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na vymedzenom území alebo na časti vymedzeného územia vyhlasuje a odvoláva prevádzkovateľ prenosovej sústavy vo verejnoprávnych hromadných oznamovacích prostriedkoch a pomocou prostriedkov dispečerského riadenia. Obmedzujúce opatrenia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pri stave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na časti vymedzeného územia vyhlasuje a odvoláva prevádzkovateľ prenosovej sústavy na základe žiadosti prevádzkovateľa distribučnej sústavy; prevádzkovateľ distribučnej sústavy, ktorý požiada prevádzkovateľa prenosovej sústavy o vyhlásenie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pri stave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na časti vymedzeného územia zodpovedá za spôsobenú škodu, ak neboli splnené podmienky ustanovené týmto zákonom na ich vyhlásenie. Obmedzujúce opatrenia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pri predchádzaní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a skúške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sa nevyhlasujú, musia sa však oznámiť dotknutým účastníkom trhu s elektrinou najneskôr do jednej hodiny po ich prijatí, ak tento zákon alebo všeobecne záväzný právny predpis vydaný podľa § 95 ods. 1 písm. d) neustanovuje inak.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(8) Prevádzkovateľ prenosovej sústavy alebo prevádzkovateľ distribučnej sústavy postupuje </w:t>
            </w:r>
            <w:r w:rsidRPr="00227E36">
              <w:rPr>
                <w:bCs/>
                <w:sz w:val="20"/>
                <w:szCs w:val="20"/>
                <w:lang w:eastAsia="en-US"/>
              </w:rPr>
              <w:lastRenderedPageBreak/>
              <w:t xml:space="preserve">pri prijímaní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tak, aby nedošlo nad nevyhnutnú mieru k obmedzeniu alebo prerušeniu dodávok elektriny pre zariadenia verejnoprospešných služieb a pre odberateľov elektriny v domácnosti.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(9) Každý účastník trhu s elektrinou je povinný podrobiť sa obmedzujúcim opatreniam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počas ich prípravy a realizácie a opatreniam zameraným na odstránenie stavu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; to neplatí pre odberateľa elektriny pripojeného do sústavy mimo vymedzeného územia. Ak bol vyhlásený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>, účastník trhu s elektrinou je povinný sa podieľať na odstránení príčin a dôsledkov stavu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a na obnove dodávok elektriny.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(10) Ak účastník trhu s elektrinou nedodrží obmedzujúce opatrenia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po ich vyhlásení alebo oznámení, má prevádzkovateľ prenosovej sústavy a pri nedodržaní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na časti vymedzeného územia prevádzkovateľ distribučnej sústavy, právo požadovať od neho náhradu škody, ktorá prevádzkovateľovi prenosovej sústavy alebo prevádzkovateľovi distribučnej sústavy z tohto dôvodu vznikla.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(11) Účastník trhu s elektrinou je povinný na vlastné náklady zabezpečiť, aby jeho zariadenia spĺňali požiadavky ustanovené všeobecne záväzným právnym predpisom vydaným podľa § 95 ods. 1 písm. d) a technickými podmienkami prevádzkovateľa prenosovej sústavy podľa § 19. Požiadavky na zariadenia </w:t>
            </w:r>
            <w:r w:rsidRPr="00227E36">
              <w:rPr>
                <w:bCs/>
                <w:sz w:val="20"/>
                <w:szCs w:val="20"/>
                <w:lang w:eastAsia="en-US"/>
              </w:rPr>
              <w:lastRenderedPageBreak/>
              <w:t>podľa prvej vety sa uplatňujú na nové a existujúce zariadenia dotknutého účastníka trhu s  elektrinou. Náklady subjektov podľa osobitného predpisu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43c</w:t>
            </w:r>
            <w:r w:rsidRPr="00227E36">
              <w:rPr>
                <w:bCs/>
                <w:sz w:val="20"/>
                <w:szCs w:val="20"/>
                <w:lang w:eastAsia="en-US"/>
              </w:rPr>
              <w:t>) vyvolané plnením týchto požiadaviek úrad zohľadní v navrhovanom spôsobe cenovej regulácie.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(12) Pri stave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až do jeho odvolania a v čase trvania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vyhlásených alebo oznámených za podmienok ustanovených všeobecne záväzným právnym predpisom vydaným podľa § 95 ods. 1 písm. d), je právo na náhradu škody a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ušlého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zisku z dôvodu, pre ktorý bol stav núdze v 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vyhlásený alebo pre ktorý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hrozil, alebo z dôvodu realizácie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vylúčené. Právo na náhradu škody a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ušlého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zisku z dôvodu, pre ktorý bol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vyhlásený alebo pre ktorý stav núdze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hrozil, alebo z dôvodu realizácie obmedzujúcich opatrení v </w:t>
            </w:r>
            <w:proofErr w:type="spellStart"/>
            <w:r w:rsidRPr="00227E36">
              <w:rPr>
                <w:bCs/>
                <w:sz w:val="20"/>
                <w:szCs w:val="20"/>
                <w:lang w:eastAsia="en-US"/>
              </w:rPr>
              <w:t>elektroenergetike</w:t>
            </w:r>
            <w:proofErr w:type="spellEnd"/>
            <w:r w:rsidRPr="00227E36">
              <w:rPr>
                <w:bCs/>
                <w:sz w:val="20"/>
                <w:szCs w:val="20"/>
                <w:lang w:eastAsia="en-US"/>
              </w:rPr>
              <w:t xml:space="preserve"> je vylúčené aj vtedy, ak bolo zariadenie užívateľa sústavy odpojené v dôsledku činnosti technických prostriedkov zabezpečujúcich automatické odpájanie zariadení od sústavy v súlade s technickými podmienkami prevádzkovateľa prenosovej sústavy podľa § 19. Vyhodnotenie a zúčtovanie odchýlok a regulačnej elektriny sa uskutočňuje v rozsahu podľa pravidiel trhu.“.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Poznámky pod čiarou k odkazom 43a až 43c znejú: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>„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43a</w:t>
            </w:r>
            <w:r w:rsidRPr="00227E36">
              <w:rPr>
                <w:bCs/>
                <w:sz w:val="20"/>
                <w:szCs w:val="20"/>
                <w:lang w:eastAsia="en-US"/>
              </w:rPr>
              <w:t>) § 140b zákona č. 300/2005 Z. z. Trestný zákon v znení zákona č. 316/2016 Z. z.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>43b</w:t>
            </w:r>
            <w:r w:rsidRPr="00227E36">
              <w:rPr>
                <w:bCs/>
                <w:sz w:val="20"/>
                <w:szCs w:val="20"/>
                <w:lang w:eastAsia="en-US"/>
              </w:rPr>
              <w:t>) § 40 ods. 2 zákona č. 250/2012 Z. z.</w:t>
            </w:r>
          </w:p>
          <w:p w:rsidR="00227E36" w:rsidRPr="00227E36" w:rsidRDefault="00227E36" w:rsidP="00227E36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227E36">
              <w:rPr>
                <w:bCs/>
                <w:sz w:val="20"/>
                <w:szCs w:val="20"/>
                <w:vertAlign w:val="superscript"/>
                <w:lang w:eastAsia="en-US"/>
              </w:rPr>
              <w:t xml:space="preserve">   43c</w:t>
            </w:r>
            <w:r w:rsidRPr="00227E36">
              <w:rPr>
                <w:bCs/>
                <w:sz w:val="20"/>
                <w:szCs w:val="20"/>
                <w:lang w:eastAsia="en-US"/>
              </w:rPr>
              <w:t>) § 1 písm. c) zákona č. 250/2012 Z. z.“.</w:t>
            </w:r>
          </w:p>
          <w:p w:rsidR="005D5EA6" w:rsidRPr="00E408FD" w:rsidRDefault="005D5EA6" w:rsidP="0056013F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lastRenderedPageBreak/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pStyle w:val="Normlny0"/>
              <w:ind w:right="-43"/>
              <w:jc w:val="center"/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Default="00227E36" w:rsidP="00227E36">
            <w:pPr>
              <w:pStyle w:val="Normlny0"/>
            </w:pPr>
            <w:r>
              <w:lastRenderedPageBreak/>
              <w:t>Č: 7</w:t>
            </w:r>
          </w:p>
          <w:p w:rsidR="00227E36" w:rsidRDefault="00227E36" w:rsidP="00227E36">
            <w:pPr>
              <w:pStyle w:val="Normlny0"/>
            </w:pPr>
            <w:r>
              <w:t>O: 1</w:t>
            </w:r>
          </w:p>
          <w:p w:rsidR="00227E36" w:rsidRPr="00E408FD" w:rsidRDefault="00227E36" w:rsidP="00227E36">
            <w:pPr>
              <w:pStyle w:val="Normlny0"/>
            </w:pPr>
            <w:r>
              <w:t>P: 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6" w:rsidRPr="00227E36" w:rsidRDefault="00227E36" w:rsidP="00227E36">
            <w:pPr>
              <w:pStyle w:val="Normlny0"/>
              <w:jc w:val="both"/>
            </w:pPr>
            <w:r w:rsidRPr="00227E36">
              <w:t>Členské štáty zabezpečia, aby správa uvedená v článku 4 smernice 2003/54/ES zahŕňala celkovú schopnosť elektrickej sústavy pokrývať súčasný a očakávaný dopyt po elektrickej energii vrátane: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62"/>
              <w:gridCol w:w="2978"/>
            </w:tblGrid>
            <w:tr w:rsidR="00227E36" w:rsidRPr="00227E36" w:rsidTr="00227E36">
              <w:tc>
                <w:tcPr>
                  <w:tcW w:w="341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000000" w:rsidRPr="00227E36" w:rsidRDefault="00B81F49" w:rsidP="00227E36">
                  <w:pPr>
                    <w:pStyle w:val="Normlny0"/>
                  </w:pPr>
                </w:p>
              </w:tc>
              <w:tc>
                <w:tcPr>
                  <w:tcW w:w="29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000000" w:rsidRPr="00227E36" w:rsidRDefault="00B81F49" w:rsidP="00227E36">
                  <w:pPr>
                    <w:pStyle w:val="Normlny0"/>
                  </w:pPr>
                </w:p>
              </w:tc>
            </w:tr>
            <w:tr w:rsidR="00227E36" w:rsidRPr="00227E36" w:rsidTr="00227E36">
              <w:tc>
                <w:tcPr>
                  <w:tcW w:w="17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00000" w:rsidRPr="00227E36" w:rsidRDefault="00227E36" w:rsidP="00227E36">
                  <w:pPr>
                    <w:pStyle w:val="Normlny0"/>
                  </w:pPr>
                  <w:r w:rsidRPr="00227E36">
                    <w:t>d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00000" w:rsidRPr="00227E36" w:rsidRDefault="00227E36" w:rsidP="00227E36">
                  <w:pPr>
                    <w:pStyle w:val="Normlny0"/>
                    <w:jc w:val="both"/>
                  </w:pPr>
                  <w:r w:rsidRPr="00227E36">
                    <w:t>investičných zámerov prevádzkovateľov prenosových sústav a im známych investičných zámerov akejkoľvek inej strany týkajúcich sa poskytovania cezhraničnej prenosovej kapacity na nasledujúcich päť alebo viac kalendárnych rokov.</w:t>
                  </w:r>
                </w:p>
              </w:tc>
            </w:tr>
          </w:tbl>
          <w:p w:rsidR="00076A83" w:rsidRPr="00E408FD" w:rsidRDefault="00076A83" w:rsidP="0056013F">
            <w:pPr>
              <w:pStyle w:val="Normlny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B81F49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B81F49" w:rsidP="0056013F">
            <w:pPr>
              <w:pStyle w:val="Normlny0"/>
              <w:jc w:val="center"/>
            </w:pPr>
            <w:r>
              <w:t xml:space="preserve">Návrh </w:t>
            </w:r>
            <w:proofErr w:type="spellStart"/>
            <w:r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227E36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28 ods. 3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6" w:rsidRPr="00227E36" w:rsidRDefault="00227E36" w:rsidP="00227E36">
            <w:pPr>
              <w:pStyle w:val="Normlny0"/>
              <w:rPr>
                <w:rFonts w:eastAsia="Arial Unicode MS"/>
              </w:rPr>
            </w:pPr>
            <w:r w:rsidRPr="00227E36">
              <w:rPr>
                <w:rFonts w:eastAsia="Arial Unicode MS"/>
              </w:rPr>
              <w:t>V § 28 ods. 3 písmeno b) znie:</w:t>
            </w:r>
          </w:p>
          <w:p w:rsidR="00227E36" w:rsidRPr="00227E36" w:rsidRDefault="00227E36" w:rsidP="00227E36">
            <w:pPr>
              <w:pStyle w:val="Normlny0"/>
              <w:rPr>
                <w:rFonts w:eastAsia="Arial Unicode MS"/>
              </w:rPr>
            </w:pPr>
          </w:p>
          <w:p w:rsidR="00227E36" w:rsidRPr="00227E36" w:rsidRDefault="00227E36" w:rsidP="00227E36">
            <w:pPr>
              <w:pStyle w:val="Normlny0"/>
              <w:rPr>
                <w:rFonts w:eastAsia="Arial Unicode MS"/>
              </w:rPr>
            </w:pPr>
            <w:r w:rsidRPr="00227E36">
              <w:rPr>
                <w:rFonts w:eastAsia="Arial Unicode MS"/>
              </w:rPr>
              <w:t>„b) raz za dva roky vypracúvať plán rozvoja prenosovej sústavy vrátane plánu rozvoja spojovacích vedení na obdobie nasledujúcich desiatich rokov (ďalej len „desaťročný plán rozvoja sústavy“) a predložiť ho ministerstvu a úradu do 30. apríla druhého kalendárneho roka, v ktorom sa plní príslušný desaťročný plán rozvoja sústavy, spolu so správou o plnení desaťročného plánu rozvoja sústavy,“.</w:t>
            </w:r>
          </w:p>
          <w:p w:rsidR="00076A83" w:rsidRPr="00E408FD" w:rsidRDefault="00076A83" w:rsidP="0056013F">
            <w:pPr>
              <w:pStyle w:val="Normlny0"/>
              <w:jc w:val="both"/>
              <w:rPr>
                <w:rFonts w:eastAsia="Arial Unicode M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B81F49" w:rsidP="0056013F">
            <w:pPr>
              <w:pStyle w:val="Normlny0"/>
              <w:jc w:val="center"/>
            </w:pPr>
            <w:r>
              <w:t>Ú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ind w:right="-43"/>
              <w:jc w:val="center"/>
            </w:pPr>
          </w:p>
        </w:tc>
      </w:tr>
    </w:tbl>
    <w:p w:rsidR="00076A83" w:rsidRPr="0057707F" w:rsidRDefault="00076A83" w:rsidP="00076A83"/>
    <w:p w:rsidR="00076A83" w:rsidRPr="0057707F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076A83" w:rsidRPr="0057707F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(1):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číslo (písmeno)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(3):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N – bežná transpozícia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transpozícia s možnosťou voľby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D – transpozícia podľa úvahy (dobrovoľná)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(5):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§ – paragraf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(7):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RDefault="00076A83" w:rsidP="0056013F">
            <w:pPr>
              <w:pStyle w:val="Zarkazkladnhotextu2"/>
              <w:ind w:left="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Ž – žiadna zhoda (ak nebola dosiahnutá ani úplná ani čiastočná zhoda alebo  </w:t>
            </w:r>
            <w:r w:rsidRPr="0057707F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076A83" w:rsidRDefault="00076A83" w:rsidP="00076A83"/>
    <w:p w:rsidR="00B81F49" w:rsidRPr="0057707F" w:rsidRDefault="00B81F49" w:rsidP="00076A83"/>
    <w:p w:rsidR="00076A83" w:rsidRPr="0057707F" w:rsidRDefault="00076A83" w:rsidP="00076A83"/>
    <w:tbl>
      <w:tblPr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14337"/>
      </w:tblGrid>
      <w:tr w:rsidR="00076A83" w:rsidRPr="0057707F" w:rsidTr="0056013F"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460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200</w:t>
            </w:r>
            <w:r w:rsidR="004603EF">
              <w:rPr>
                <w:rStyle w:val="Siln"/>
                <w:sz w:val="20"/>
                <w:szCs w:val="20"/>
              </w:rPr>
              <w:t>5</w:t>
            </w:r>
            <w:r w:rsidRPr="0057707F">
              <w:rPr>
                <w:rStyle w:val="Siln"/>
                <w:sz w:val="20"/>
                <w:szCs w:val="20"/>
              </w:rPr>
              <w:t>/</w:t>
            </w:r>
            <w:r w:rsidR="004603EF">
              <w:rPr>
                <w:rStyle w:val="Siln"/>
                <w:sz w:val="20"/>
                <w:szCs w:val="20"/>
              </w:rPr>
              <w:t>89</w:t>
            </w:r>
            <w:r w:rsidRPr="0057707F">
              <w:rPr>
                <w:rStyle w:val="Siln"/>
                <w:sz w:val="20"/>
                <w:szCs w:val="20"/>
              </w:rPr>
              <w:t>/ES z 1</w:t>
            </w:r>
            <w:r w:rsidR="004603EF">
              <w:rPr>
                <w:rStyle w:val="Siln"/>
                <w:sz w:val="20"/>
                <w:szCs w:val="20"/>
              </w:rPr>
              <w:t>8</w:t>
            </w:r>
            <w:r w:rsidRPr="0057707F">
              <w:rPr>
                <w:rStyle w:val="Siln"/>
                <w:sz w:val="20"/>
                <w:szCs w:val="20"/>
              </w:rPr>
              <w:t>. j</w:t>
            </w:r>
            <w:r w:rsidR="004603EF">
              <w:rPr>
                <w:rStyle w:val="Siln"/>
                <w:sz w:val="20"/>
                <w:szCs w:val="20"/>
              </w:rPr>
              <w:t>anuár</w:t>
            </w:r>
            <w:r w:rsidRPr="0057707F">
              <w:rPr>
                <w:rStyle w:val="Siln"/>
                <w:sz w:val="20"/>
                <w:szCs w:val="20"/>
              </w:rPr>
              <w:t>a 200</w:t>
            </w:r>
            <w:r w:rsidR="004603EF">
              <w:rPr>
                <w:rStyle w:val="Siln"/>
                <w:sz w:val="20"/>
                <w:szCs w:val="20"/>
              </w:rPr>
              <w:t>6</w:t>
            </w:r>
          </w:p>
        </w:tc>
      </w:tr>
      <w:tr w:rsidR="00076A83" w:rsidRPr="0057707F" w:rsidTr="0056013F"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</w:tbl>
    <w:p w:rsidR="00076A83" w:rsidRDefault="00076A83" w:rsidP="00076A83"/>
    <w:sectPr w:rsidR="00076A83" w:rsidSect="00076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1D4B6F50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1832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A83"/>
    <w:rsid w:val="00076A83"/>
    <w:rsid w:val="0008469C"/>
    <w:rsid w:val="00227E36"/>
    <w:rsid w:val="004603EF"/>
    <w:rsid w:val="004A02A2"/>
    <w:rsid w:val="005D5EA6"/>
    <w:rsid w:val="005E6E5F"/>
    <w:rsid w:val="0093203B"/>
    <w:rsid w:val="00B81F49"/>
    <w:rsid w:val="00E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6A83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076A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76A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6A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6A83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76A8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76A83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6A83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076A8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076A8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6A8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6A8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76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76A83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rsid w:val="00076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76A8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076A83"/>
    <w:rPr>
      <w:b/>
      <w:bCs/>
    </w:rPr>
  </w:style>
  <w:style w:type="paragraph" w:customStyle="1" w:styleId="Normlny0">
    <w:name w:val="_Normálny"/>
    <w:basedOn w:val="Normlny"/>
    <w:rsid w:val="00076A83"/>
    <w:pPr>
      <w:autoSpaceDE w:val="0"/>
      <w:autoSpaceDN w:val="0"/>
    </w:pPr>
    <w:rPr>
      <w:sz w:val="20"/>
      <w:szCs w:val="20"/>
      <w:lang w:eastAsia="en-US"/>
    </w:rPr>
  </w:style>
  <w:style w:type="paragraph" w:customStyle="1" w:styleId="abc">
    <w:name w:val="abc"/>
    <w:basedOn w:val="Normlny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lny"/>
    <w:uiPriority w:val="99"/>
    <w:rsid w:val="00076A83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ret2">
    <w:name w:val="Tiret 2"/>
    <w:basedOn w:val="Normlny"/>
    <w:rsid w:val="00076A83"/>
    <w:pPr>
      <w:numPr>
        <w:numId w:val="4"/>
      </w:numPr>
      <w:spacing w:before="120" w:after="120" w:line="360" w:lineRule="auto"/>
    </w:pPr>
    <w:rPr>
      <w:lang w:eastAsia="en-US"/>
    </w:rPr>
  </w:style>
  <w:style w:type="paragraph" w:customStyle="1" w:styleId="Point1">
    <w:name w:val="Point 1"/>
    <w:basedOn w:val="Normlny"/>
    <w:link w:val="Point1Char"/>
    <w:rsid w:val="00076A83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ManualNumPar1">
    <w:name w:val="Manual NumPar 1"/>
    <w:basedOn w:val="Normlny"/>
    <w:next w:val="Normlny"/>
    <w:rsid w:val="00076A83"/>
    <w:pPr>
      <w:spacing w:before="120" w:after="120" w:line="360" w:lineRule="auto"/>
      <w:ind w:left="850" w:hanging="850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6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1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7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9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9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Milan</dc:creator>
  <cp:lastModifiedBy>Horvath Milan</cp:lastModifiedBy>
  <cp:revision>5</cp:revision>
  <cp:lastPrinted>2017-12-04T07:40:00Z</cp:lastPrinted>
  <dcterms:created xsi:type="dcterms:W3CDTF">2018-02-07T07:51:00Z</dcterms:created>
  <dcterms:modified xsi:type="dcterms:W3CDTF">2018-02-07T08:25:00Z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</vt:lpwstr>
  </property>
  <property fmtid="{D5CDD505-2E9C-101B-9397-08002B2CF9AE}" pid="23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27227/2017-2062-50709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LP/2017/883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23. 12. 2017</vt:lpwstr>
  </property>
  <property fmtid="{D5CDD505-2E9C-101B-9397-08002B2CF9AE}" pid="151" name="FSC#COOSYSTEM@1.1:Container">
    <vt:lpwstr>COO.2145.1000.3.2340149</vt:lpwstr>
  </property>
  <property fmtid="{D5CDD505-2E9C-101B-9397-08002B2CF9AE}" pid="152" name="FSC#FSCFOLIO@1.1001:docpropproject">
    <vt:lpwstr/>
  </property>
</Properties>
</file>