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46A0A7EB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EA0392">
              <w:rPr>
                <w:sz w:val="25"/>
                <w:szCs w:val="25"/>
              </w:rPr>
              <w:fldChar w:fldCharType="separate"/>
            </w:r>
            <w:r w:rsidR="00EA0392">
              <w:rPr>
                <w:sz w:val="25"/>
                <w:szCs w:val="25"/>
              </w:rPr>
              <w:t>Úrad podpredsedu vlády Slovenskej republiky pre investície a informatizáciu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012D38D0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EA0392">
              <w:rPr>
                <w:sz w:val="25"/>
                <w:szCs w:val="25"/>
              </w:rPr>
              <w:fldChar w:fldCharType="separate"/>
            </w:r>
            <w:r w:rsidR="00EA0392">
              <w:rPr>
                <w:sz w:val="25"/>
                <w:szCs w:val="25"/>
              </w:rPr>
              <w:t xml:space="preserve"> Nariadenie vlády  Slovenskej republiky, ktorým sa dopĺňa nariadenie vlády Slovenskej republiky č. 247/2016 Z. z., ktorým sa ustanovuje systém uplatňovania niektorých právomocí Úradu podpredsedu vlády Slovenskej republiky pre investície a informatizáciu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4B55A6DC" w:rsidR="008570D4" w:rsidRPr="00117A7E" w:rsidRDefault="00275587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1A4926BC" w14:textId="0B4957B2" w:rsidR="00275587" w:rsidRDefault="00275587">
            <w:pPr>
              <w:divId w:val="86602481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174 , 175 a 177 Zmluvy o fungovaní Európskej únie v platnom znení</w:t>
            </w:r>
          </w:p>
          <w:p w14:paraId="394454C0" w14:textId="17B60735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6A9580AE" w14:textId="4F958E22" w:rsidR="00275587" w:rsidRDefault="00275587">
            <w:pPr>
              <w:divId w:val="98311925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Nariadenie Európskeho parlamentu a Rady (EÚ) č. 1303/2013 zo 17. decembra 2013 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(Ú. v. EÚ L 347, 20.12.2013) v platnom znení</w:t>
            </w:r>
          </w:p>
          <w:p w14:paraId="5C41D9D3" w14:textId="377A942E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080B868A" w14:textId="368DD1E4" w:rsidR="00275587" w:rsidRDefault="00275587">
            <w:pPr>
              <w:divId w:val="110808763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79B9DAF6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36AA98D2" w14:textId="52EE77C4" w:rsidR="00275587" w:rsidRDefault="00275587">
            <w:pPr>
              <w:divId w:val="121192298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14:paraId="20F46682" w14:textId="21757518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64E90484" w:rsidR="001F0AA3" w:rsidRPr="00117A7E" w:rsidRDefault="00275587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72B798C4" w14:textId="469ABDBE" w:rsidR="00275587" w:rsidRDefault="00275587">
            <w:pPr>
              <w:spacing w:after="250"/>
              <w:divId w:val="1220631060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396DEE9A" w:rsidR="0023485C" w:rsidRPr="00117A7E" w:rsidRDefault="0023485C" w:rsidP="00275587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48122B5D" w14:textId="76CFC5CC" w:rsidR="00275587" w:rsidRDefault="00275587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275587" w14:paraId="75FE2231" w14:textId="77777777">
        <w:trPr>
          <w:divId w:val="1652980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BEF337" w14:textId="77777777" w:rsidR="00275587" w:rsidRDefault="0027558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55441" w14:textId="77777777" w:rsidR="00275587" w:rsidRDefault="0027558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275587" w14:paraId="0EE01B9D" w14:textId="77777777">
        <w:trPr>
          <w:divId w:val="16529801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72B72D" w14:textId="77777777" w:rsidR="00275587" w:rsidRDefault="0027558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E9F91D" w14:textId="77777777" w:rsidR="00275587" w:rsidRDefault="0027558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6971D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275587" w14:paraId="3200B22F" w14:textId="77777777">
        <w:trPr>
          <w:divId w:val="16529801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014FA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1847A" w14:textId="77777777" w:rsidR="00275587" w:rsidRDefault="002755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40501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75587" w14:paraId="2F8EBB8A" w14:textId="77777777">
        <w:trPr>
          <w:divId w:val="16529801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C07F1A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D8F3F7" w14:textId="77777777" w:rsidR="00275587" w:rsidRDefault="0027558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43DAB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275587" w14:paraId="427894C4" w14:textId="77777777">
        <w:trPr>
          <w:divId w:val="16529801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BD5EB3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6AA08" w14:textId="77777777" w:rsidR="00275587" w:rsidRDefault="002755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5C6CE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75587" w14:paraId="23DAEBC0" w14:textId="77777777">
        <w:trPr>
          <w:divId w:val="16529801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F00B6E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347D6" w14:textId="77777777" w:rsidR="00275587" w:rsidRDefault="0027558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7C484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275587" w14:paraId="2EF8058C" w14:textId="77777777">
        <w:trPr>
          <w:divId w:val="16529801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2D887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97A3A" w14:textId="77777777" w:rsidR="00275587" w:rsidRDefault="002755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2CBFB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danej oblasti nebolo začaté konanie proti Slovenskej republike o porušení podľa čl. 258 až 260 Zmluvy o fungovaní Európskej únie v platnom znení.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75587" w14:paraId="092E7203" w14:textId="77777777">
        <w:trPr>
          <w:divId w:val="16529801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98986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DD1D4" w14:textId="77777777" w:rsidR="00275587" w:rsidRDefault="0027558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782B7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275587" w14:paraId="462B603D" w14:textId="77777777">
        <w:trPr>
          <w:divId w:val="16529801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D89429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B8D623" w14:textId="77777777" w:rsidR="00275587" w:rsidRDefault="002755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BF678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75587" w14:paraId="303AB7EA" w14:textId="77777777">
        <w:trPr>
          <w:divId w:val="16529801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7EDBD" w14:textId="77777777" w:rsidR="00275587" w:rsidRDefault="0027558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081C83" w14:textId="77777777" w:rsidR="00275587" w:rsidRDefault="0027558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275587" w14:paraId="43D9A6E2" w14:textId="77777777">
        <w:trPr>
          <w:divId w:val="16529801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E5C41" w14:textId="77777777" w:rsidR="00275587" w:rsidRDefault="0027558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6180E" w14:textId="77777777" w:rsidR="00275587" w:rsidRDefault="002755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5C740" w14:textId="77777777" w:rsidR="00275587" w:rsidRDefault="0027558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275587" w14:paraId="39F836AB" w14:textId="77777777">
        <w:trPr>
          <w:divId w:val="16529801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414A1" w14:textId="77777777" w:rsidR="00275587" w:rsidRDefault="0027558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F826E0" w14:textId="77777777" w:rsidR="00275587" w:rsidRDefault="0027558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EA0392" w14:paraId="5C03A20E" w14:textId="77777777" w:rsidTr="00EA0392">
        <w:trPr>
          <w:divId w:val="16529801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6090E" w14:textId="77777777" w:rsidR="00EA0392" w:rsidRDefault="00EA0392" w:rsidP="00EA039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A603C7" w14:textId="77777777" w:rsidR="00EA0392" w:rsidRDefault="00EA0392" w:rsidP="00EA0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BAAC9" w14:textId="58248D44" w:rsidR="00EA0392" w:rsidRDefault="00EA0392" w:rsidP="00EA039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  <w:r>
              <w:rPr>
                <w:rFonts w:ascii="Times" w:hAnsi="Times" w:cs="Times"/>
                <w:sz w:val="25"/>
                <w:szCs w:val="25"/>
              </w:rPr>
              <w:br/>
              <w:t>Ministerstvo pôdohospodárstva a rozvoja vidieka Slovenskej republiky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1BE40EC9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75587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A0392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677F576-F240-4C8A-B201-2BE9BB4F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.2.2018 9:53:44"/>
    <f:field ref="objchangedby" par="" text="Administrator, System"/>
    <f:field ref="objmodifiedat" par="" text="1.2.2018 9:53:5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A735057-2F8B-4BCE-94DD-9ECEB2FF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Michal Roško</cp:lastModifiedBy>
  <cp:revision>3</cp:revision>
  <dcterms:created xsi:type="dcterms:W3CDTF">2018-02-01T08:53:00Z</dcterms:created>
  <dcterms:modified xsi:type="dcterms:W3CDTF">2018-02-01T09:37:00Z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COO.2145.1000.3.2412343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Rozpočtové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 Roško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nazovpredpis">
    <vt:lpwstr>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Nariadenie vlády  Slovenskej republiky,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19" name="FSC#SKEDITIONSLOVLEX@103.510:rezortcislopredpis">
    <vt:lpwstr>2415/2017/oLG-2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LP/2017/953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174 , 175 a 177  Zmluvy o fungovaní Európskej únie v platnom znení</vt:lpwstr>
  </property>
  <property fmtid="{D5CDD505-2E9C-101B-9397-08002B2CF9AE}" pid="39" name="FSC#SKEDITIONSLOVLEX@103.510:AttrStrListDocPropSekundarneLegPravoPO">
    <vt:lpwstr>Nariadenie Európskeho parlamentu a Rady (EÚ) č. 1303/2013 zo 17. decembra 2013 , ktorým sa stanovujú spoločné ustanovenia o Európskom fonde regionálneho rozvoja, Európskom sociálnom fonde, Kohéznom fonde, Európskom poľnohospodárskom fonde pre rozvoj vidie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danej oblasti nebolo začaté konanie proti Slovenskej republike o porušení podľa čl. 258 až 260 Zmluvy o fungovaní Európskej únie v platnom znení.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podpredsedu vlády Slovenskej republiky pre investície a informatizáciu_x000d_
Ministerstvo pôdohospodárstva a rozvoja vidieka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dopĺňa nariadenie vlády Slovenskej republiky č. 247/2016 Z. z., ktorým sa ustanovuje systém uplatňovan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pôdohospodárstva a rozvoja vidieka Slovenskej republiky</vt:lpwstr>
  </property>
  <property fmtid="{D5CDD505-2E9C-101B-9397-08002B2CF9AE}" pid="129" name="FSC#SKEDITIONSLOVLEX@103.510:AttrStrListDocPropUznesenieNaVedomie">
    <vt:lpwstr>podpredseda vlády Slovenskej republiky pre investície a informatizáciu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 &amp;nbsp; &amp;nbsp;Návrh nariadenia vlády Slovenskej republiky, ktorým sa dopĺňa nariadenie vlády Slovenskej republiky č. 247/2016 Z. z., ktorým sa ustanovuje systém uplatňovania niektorých právomocí Úradu podpredsedu vlád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nariadenia vlády Slovenskej republiky, ktorým sa dopĺňa nariadenie vlády Slovenskej republiky č. 247/2016 Z.z., ktorým sa ustanovuje systém uplatňovania niektorých právomocí Úradu podpr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Slovenskej republiky pre investície a informatizáciu</vt:lpwstr>
  </property>
  <property fmtid="{D5CDD505-2E9C-101B-9397-08002B2CF9AE}" pid="138" name="FSC#SKEDITIONSLOVLEX@103.510:funkciaZodpPredAkuzativ">
    <vt:lpwstr>podpredsedovi vlády Slovenskej republiky pre investície a informatizáciu</vt:lpwstr>
  </property>
  <property fmtid="{D5CDD505-2E9C-101B-9397-08002B2CF9AE}" pid="139" name="FSC#SKEDITIONSLOVLEX@103.510:funkciaZodpPredDativ">
    <vt:lpwstr>podpredsedu vlády Slovenskej republiky pre investície a informatizáciu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Pellegrini_x000d_
podpredseda vlády Slovenskej republiky pre investície a informatizáciu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1. 2. 2018</vt:lpwstr>
  </property>
</Properties>
</file>