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534"/>
          <w:jc w:val="center"/>
        </w:trPr>
        <w:tc>
          <w:tcPr>
            <w:tcW w:w="5000" w:type="pct"/>
            <w:tcBorders>
              <w:bottom w:val="single" w:sz="4" w:space="0" w:color="auto"/>
            </w:tcBorders>
            <w:shd w:val="clear" w:color="auto" w:fill="D9D9D9"/>
          </w:tcPr>
          <w:p w:rsidR="00855E5B" w:rsidRPr="005420A9" w:rsidRDefault="00855E5B" w:rsidP="00984BE6">
            <w:pPr>
              <w:ind w:left="-284" w:firstLine="284"/>
              <w:jc w:val="center"/>
              <w:rPr>
                <w:rFonts w:eastAsia="Calibri"/>
                <w:b/>
              </w:rPr>
            </w:pPr>
            <w:bookmarkStart w:id="0" w:name="_GoBack"/>
            <w:bookmarkEnd w:id="0"/>
            <w:r w:rsidRPr="005420A9">
              <w:rPr>
                <w:rFonts w:eastAsia="Calibri"/>
                <w:b/>
                <w:sz w:val="28"/>
              </w:rPr>
              <w:t>Analýza sociálnych vplyvov</w:t>
            </w:r>
          </w:p>
          <w:p w:rsidR="00855E5B" w:rsidRPr="005420A9" w:rsidRDefault="00855E5B" w:rsidP="00984BE6">
            <w:pPr>
              <w:jc w:val="center"/>
              <w:rPr>
                <w:rFonts w:eastAsia="Calibri"/>
                <w:b/>
              </w:rPr>
            </w:pPr>
            <w:r w:rsidRPr="005420A9">
              <w:rPr>
                <w:rFonts w:eastAsia="Calibri"/>
                <w:b/>
              </w:rPr>
              <w:t>Vplyvy na hospodárenie domácností, prístup k zdrojom, právam, tovarom a službám, sociálnu inklúziu, rovnosť príležitostí a rodovú rovnosť a vplyvy na zamestnanosť</w:t>
            </w:r>
          </w:p>
        </w:tc>
      </w:tr>
      <w:tr w:rsidR="00855E5B" w:rsidRPr="005420A9" w:rsidTr="00984BE6">
        <w:trPr>
          <w:jc w:val="center"/>
        </w:trPr>
        <w:tc>
          <w:tcPr>
            <w:tcW w:w="5000" w:type="pct"/>
            <w:tcBorders>
              <w:bottom w:val="nil"/>
            </w:tcBorders>
            <w:shd w:val="clear" w:color="auto" w:fill="D9D9D9"/>
          </w:tcPr>
          <w:p w:rsidR="00855E5B" w:rsidRPr="005420A9" w:rsidRDefault="00855E5B" w:rsidP="00984BE6">
            <w:pPr>
              <w:rPr>
                <w:rFonts w:eastAsia="Calibri"/>
                <w:b/>
              </w:rPr>
            </w:pPr>
            <w:r w:rsidRPr="005420A9">
              <w:rPr>
                <w:rFonts w:eastAsia="Calibri"/>
                <w:b/>
              </w:rPr>
              <w:t>4.1 Identifikujte, popíšte a kvantifikujte vplyv na hospodárenie domácností a špecifikujte ovplyvnené skupiny domácností, ktoré budú pozitívne/negatívne ovplyvnené.</w:t>
            </w:r>
          </w:p>
        </w:tc>
      </w:tr>
    </w:tbl>
    <w:p w:rsidR="00855E5B" w:rsidRPr="005420A9" w:rsidRDefault="00855E5B" w:rsidP="00855E5B">
      <w:pPr>
        <w:shd w:val="clear" w:color="auto" w:fill="F2F2F2"/>
        <w:rPr>
          <w:rFonts w:eastAsia="Calibri"/>
          <w:i/>
          <w:sz w:val="20"/>
          <w:szCs w:val="20"/>
        </w:rPr>
        <w:sectPr w:rsidR="00855E5B" w:rsidRPr="005420A9" w:rsidSect="00992440">
          <w:headerReference w:type="default" r:id="rId8"/>
          <w:footerReference w:type="default" r:id="rId9"/>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736"/>
          <w:jc w:val="center"/>
        </w:trPr>
        <w:tc>
          <w:tcPr>
            <w:tcW w:w="5000" w:type="pct"/>
            <w:tcBorders>
              <w:bottom w:val="single" w:sz="4" w:space="0" w:color="auto"/>
            </w:tcBorders>
            <w:shd w:val="clear" w:color="auto" w:fill="F2F2F2"/>
          </w:tcPr>
          <w:p w:rsidR="00855E5B" w:rsidRPr="005420A9" w:rsidRDefault="00855E5B" w:rsidP="00984BE6">
            <w:pPr>
              <w:shd w:val="clear" w:color="auto" w:fill="F2F2F2"/>
              <w:rPr>
                <w:rFonts w:eastAsia="Calibri"/>
                <w:b/>
                <w:i/>
                <w:sz w:val="20"/>
                <w:szCs w:val="20"/>
              </w:rPr>
            </w:pPr>
            <w:r w:rsidRPr="005420A9">
              <w:rPr>
                <w:rFonts w:eastAsia="Calibri"/>
                <w:i/>
                <w:sz w:val="20"/>
                <w:szCs w:val="20"/>
              </w:rPr>
              <w:lastRenderedPageBreak/>
              <w:t xml:space="preserve">Vedie návrh k zvýšeniu alebo zníženiu príjmov alebo výdavkov domácností?                     </w:t>
            </w:r>
          </w:p>
          <w:p w:rsidR="00855E5B" w:rsidRPr="005420A9" w:rsidRDefault="00855E5B" w:rsidP="00984BE6">
            <w:pPr>
              <w:shd w:val="clear" w:color="auto" w:fill="F2F2F2"/>
              <w:rPr>
                <w:rFonts w:eastAsia="Calibri"/>
                <w:i/>
                <w:sz w:val="20"/>
                <w:szCs w:val="20"/>
              </w:rPr>
            </w:pPr>
            <w:r w:rsidRPr="005420A9">
              <w:rPr>
                <w:rFonts w:eastAsia="Calibri"/>
                <w:i/>
                <w:sz w:val="20"/>
                <w:szCs w:val="20"/>
              </w:rPr>
              <w:t xml:space="preserve">Ktoré skupiny domácností/obyvateľstva sú takto ovplyvnené a akým spôsobom? </w:t>
            </w:r>
          </w:p>
          <w:p w:rsidR="00855E5B" w:rsidRPr="005420A9" w:rsidRDefault="00855E5B" w:rsidP="00984BE6">
            <w:pPr>
              <w:shd w:val="clear" w:color="auto" w:fill="F2F2F2"/>
              <w:rPr>
                <w:rFonts w:eastAsia="Calibri"/>
                <w:i/>
                <w:sz w:val="20"/>
                <w:szCs w:val="20"/>
              </w:rPr>
            </w:pPr>
            <w:r w:rsidRPr="005420A9">
              <w:rPr>
                <w:rFonts w:eastAsia="Calibri"/>
                <w:i/>
                <w:sz w:val="20"/>
                <w:szCs w:val="20"/>
              </w:rPr>
              <w:t>Sú medzi potenciálne ovplyvnenými skupinami skupiny v riziku chudoby alebo sociálneho vylúčenia?</w:t>
            </w:r>
          </w:p>
        </w:tc>
      </w:tr>
    </w:tbl>
    <w:p w:rsidR="00855E5B" w:rsidRPr="005420A9" w:rsidRDefault="00855E5B" w:rsidP="00855E5B">
      <w:pPr>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55E5B" w:rsidRPr="005420A9" w:rsidTr="00984BE6">
        <w:trPr>
          <w:trHeight w:val="759"/>
          <w:jc w:val="center"/>
        </w:trPr>
        <w:tc>
          <w:tcPr>
            <w:tcW w:w="2500" w:type="pct"/>
            <w:tcBorders>
              <w:top w:val="nil"/>
              <w:bottom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lastRenderedPageBreak/>
              <w:t xml:space="preserve">Popíšte </w:t>
            </w:r>
            <w:r w:rsidRPr="005420A9">
              <w:rPr>
                <w:rFonts w:eastAsia="Calibri"/>
                <w:b/>
                <w:i/>
                <w:sz w:val="20"/>
                <w:szCs w:val="20"/>
              </w:rPr>
              <w:t>pozitívny</w:t>
            </w:r>
            <w:r w:rsidRPr="005420A9">
              <w:rPr>
                <w:rFonts w:eastAsia="Calibri"/>
                <w:i/>
                <w:sz w:val="20"/>
                <w:szCs w:val="20"/>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855E5B" w:rsidRPr="005420A9" w:rsidRDefault="00855E5B" w:rsidP="00984BE6">
            <w:pPr>
              <w:rPr>
                <w:rFonts w:eastAsia="Calibri"/>
                <w:sz w:val="20"/>
                <w:szCs w:val="20"/>
              </w:rPr>
            </w:pPr>
          </w:p>
        </w:tc>
      </w:tr>
      <w:tr w:rsidR="00855E5B" w:rsidRPr="005420A9" w:rsidTr="00984BE6">
        <w:trPr>
          <w:trHeight w:val="624"/>
          <w:jc w:val="center"/>
        </w:trPr>
        <w:tc>
          <w:tcPr>
            <w:tcW w:w="2500" w:type="pct"/>
            <w:tcBorders>
              <w:top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w:t>
            </w:r>
            <w:r w:rsidRPr="005420A9">
              <w:rPr>
                <w:rFonts w:eastAsia="Calibri"/>
                <w:b/>
                <w:i/>
                <w:sz w:val="20"/>
                <w:szCs w:val="20"/>
              </w:rPr>
              <w:t>pozitívne</w:t>
            </w:r>
            <w:r w:rsidRPr="005420A9">
              <w:rPr>
                <w:rFonts w:eastAsia="Calibri"/>
                <w:i/>
                <w:sz w:val="20"/>
                <w:szCs w:val="20"/>
              </w:rPr>
              <w:t xml:space="preserve"> ovplyvnené skupiny:</w:t>
            </w:r>
          </w:p>
        </w:tc>
        <w:tc>
          <w:tcPr>
            <w:tcW w:w="2500" w:type="pct"/>
            <w:tcBorders>
              <w:top w:val="dotted" w:sz="4" w:space="0" w:color="auto"/>
            </w:tcBorders>
            <w:shd w:val="clear" w:color="auto" w:fill="auto"/>
          </w:tcPr>
          <w:p w:rsidR="00855E5B" w:rsidRPr="005420A9" w:rsidRDefault="00855E5B" w:rsidP="00984BE6">
            <w:pPr>
              <w:rPr>
                <w:rFonts w:eastAsia="Calibri"/>
                <w:sz w:val="20"/>
                <w:szCs w:val="20"/>
              </w:rPr>
            </w:pPr>
          </w:p>
        </w:tc>
      </w:tr>
      <w:tr w:rsidR="00855E5B" w:rsidRPr="005420A9" w:rsidTr="00984BE6">
        <w:trPr>
          <w:trHeight w:val="759"/>
          <w:jc w:val="center"/>
        </w:trPr>
        <w:tc>
          <w:tcPr>
            <w:tcW w:w="2500" w:type="pct"/>
            <w:tcBorders>
              <w:bottom w:val="dotted"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Popíšte </w:t>
            </w:r>
            <w:r w:rsidRPr="005420A9">
              <w:rPr>
                <w:rFonts w:eastAsia="Calibri"/>
                <w:b/>
                <w:i/>
                <w:sz w:val="20"/>
                <w:szCs w:val="20"/>
              </w:rPr>
              <w:t xml:space="preserve">negatívny </w:t>
            </w:r>
            <w:r w:rsidRPr="005420A9">
              <w:rPr>
                <w:rFonts w:eastAsia="Calibri"/>
                <w:i/>
                <w:sz w:val="20"/>
                <w:szCs w:val="20"/>
              </w:rPr>
              <w:t>vplyv na hospodárenie domácností s uvedením, či ide o zníženie príjmov alebo zvýšenie výdavkov:</w:t>
            </w:r>
          </w:p>
        </w:tc>
        <w:tc>
          <w:tcPr>
            <w:tcW w:w="2500" w:type="pct"/>
            <w:tcBorders>
              <w:bottom w:val="dotted" w:sz="4" w:space="0" w:color="auto"/>
            </w:tcBorders>
            <w:shd w:val="clear" w:color="auto" w:fill="auto"/>
          </w:tcPr>
          <w:p w:rsidR="00855E5B" w:rsidRPr="005420A9" w:rsidRDefault="00855E5B" w:rsidP="003820BC">
            <w:pPr>
              <w:jc w:val="both"/>
              <w:rPr>
                <w:rFonts w:eastAsia="Calibri"/>
                <w:sz w:val="20"/>
                <w:szCs w:val="20"/>
              </w:rPr>
            </w:pPr>
            <w:r w:rsidRPr="005420A9">
              <w:rPr>
                <w:rFonts w:eastAsia="Calibri"/>
                <w:sz w:val="20"/>
                <w:szCs w:val="20"/>
              </w:rPr>
              <w:t xml:space="preserve">Negatívny vplyv na spotrebiteľov môže vzniknúť presunutím zvýšených nákladov, ktoré vzniknú cestovným kanceláriám </w:t>
            </w:r>
            <w:r w:rsidRPr="005420A9">
              <w:t xml:space="preserve"> </w:t>
            </w:r>
            <w:r w:rsidRPr="005420A9">
              <w:rPr>
                <w:rFonts w:eastAsia="Calibri"/>
                <w:sz w:val="20"/>
                <w:szCs w:val="20"/>
              </w:rPr>
              <w:t xml:space="preserve">zvýšením  hranice poistnej sumy alebo bankovej záruky v rámci zabezpečenia ochrany pre prípad úpadku z 25 % na 30 % ročných plánovaných tržieb z predaja zájazdov a spojených služieb </w:t>
            </w:r>
            <w:r w:rsidR="003820BC">
              <w:rPr>
                <w:rFonts w:eastAsia="Calibri"/>
                <w:sz w:val="20"/>
                <w:szCs w:val="20"/>
              </w:rPr>
              <w:t xml:space="preserve">cestovného ruchu </w:t>
            </w:r>
            <w:r w:rsidRPr="005420A9">
              <w:rPr>
                <w:rFonts w:eastAsia="Calibri"/>
                <w:sz w:val="20"/>
                <w:szCs w:val="20"/>
              </w:rPr>
              <w:t xml:space="preserve">do konečnej ceny zájazdu alebo spojených cestovných služieb. Presnú sumu nie je možné v súčasnosti kvantifikovať . </w:t>
            </w:r>
          </w:p>
        </w:tc>
      </w:tr>
      <w:tr w:rsidR="00855E5B" w:rsidRPr="005420A9" w:rsidTr="00984BE6">
        <w:trPr>
          <w:trHeight w:val="624"/>
          <w:jc w:val="center"/>
        </w:trPr>
        <w:tc>
          <w:tcPr>
            <w:tcW w:w="2500" w:type="pct"/>
            <w:tcBorders>
              <w:top w:val="dotted" w:sz="4" w:space="0" w:color="auto"/>
              <w:bottom w:val="single"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w:t>
            </w:r>
            <w:r w:rsidRPr="005420A9">
              <w:rPr>
                <w:rFonts w:eastAsia="Calibri"/>
                <w:b/>
                <w:i/>
                <w:sz w:val="20"/>
                <w:szCs w:val="20"/>
              </w:rPr>
              <w:t>negatívne</w:t>
            </w:r>
            <w:r w:rsidRPr="005420A9">
              <w:rPr>
                <w:rFonts w:eastAsia="Calibri"/>
                <w:i/>
                <w:sz w:val="20"/>
                <w:szCs w:val="20"/>
              </w:rPr>
              <w:t xml:space="preserve"> ovplyvnené skupiny:</w:t>
            </w:r>
          </w:p>
        </w:tc>
        <w:tc>
          <w:tcPr>
            <w:tcW w:w="2500" w:type="pct"/>
            <w:tcBorders>
              <w:top w:val="dotted" w:sz="4" w:space="0" w:color="auto"/>
              <w:bottom w:val="single" w:sz="4" w:space="0" w:color="auto"/>
            </w:tcBorders>
            <w:shd w:val="clear" w:color="auto" w:fill="auto"/>
          </w:tcPr>
          <w:p w:rsidR="00855E5B" w:rsidRPr="005420A9" w:rsidRDefault="00855E5B" w:rsidP="003820BC">
            <w:pPr>
              <w:jc w:val="both"/>
              <w:rPr>
                <w:rFonts w:eastAsia="Calibri"/>
                <w:sz w:val="20"/>
                <w:szCs w:val="20"/>
              </w:rPr>
            </w:pPr>
            <w:r w:rsidRPr="005420A9">
              <w:rPr>
                <w:rFonts w:eastAsia="Calibri"/>
                <w:sz w:val="20"/>
                <w:szCs w:val="20"/>
              </w:rPr>
              <w:t>Všetci zákazníci kupujúci zájazd alebo spojené služby</w:t>
            </w:r>
            <w:r w:rsidR="003820BC">
              <w:rPr>
                <w:rFonts w:eastAsia="Calibri"/>
                <w:sz w:val="20"/>
                <w:szCs w:val="20"/>
              </w:rPr>
              <w:t xml:space="preserve"> cestovného ruchu</w:t>
            </w:r>
            <w:r w:rsidRPr="005420A9">
              <w:rPr>
                <w:rFonts w:eastAsia="Calibri"/>
                <w:sz w:val="20"/>
                <w:szCs w:val="20"/>
              </w:rPr>
              <w:t xml:space="preserve"> definované týmto návrhom zákonom.</w:t>
            </w:r>
          </w:p>
        </w:tc>
      </w:tr>
      <w:tr w:rsidR="00855E5B" w:rsidRPr="005420A9" w:rsidTr="00984BE6">
        <w:trPr>
          <w:trHeight w:val="680"/>
          <w:jc w:val="center"/>
        </w:trPr>
        <w:tc>
          <w:tcPr>
            <w:tcW w:w="2500" w:type="pct"/>
            <w:tcBorders>
              <w:bottom w:val="nil"/>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Špecifikujte ovplyvnené skupiny </w:t>
            </w:r>
            <w:r w:rsidRPr="005420A9">
              <w:rPr>
                <w:rFonts w:eastAsia="Calibri"/>
                <w:b/>
                <w:i/>
                <w:sz w:val="20"/>
                <w:szCs w:val="20"/>
              </w:rPr>
              <w:t>v riziku chudoby alebo sociálneho vylúčenia</w:t>
            </w:r>
            <w:r w:rsidRPr="005420A9">
              <w:rPr>
                <w:rFonts w:eastAsia="Calibri"/>
                <w:i/>
                <w:sz w:val="20"/>
                <w:szCs w:val="20"/>
              </w:rPr>
              <w:t xml:space="preserve"> a popíšte vplyv:</w:t>
            </w:r>
          </w:p>
        </w:tc>
        <w:tc>
          <w:tcPr>
            <w:tcW w:w="2500" w:type="pct"/>
            <w:tcBorders>
              <w:bottom w:val="nil"/>
            </w:tcBorders>
            <w:shd w:val="clear" w:color="auto" w:fill="auto"/>
          </w:tcPr>
          <w:p w:rsidR="00855E5B" w:rsidRPr="005420A9" w:rsidRDefault="00855E5B" w:rsidP="00984BE6">
            <w:pPr>
              <w:rPr>
                <w:rFonts w:eastAsia="Calibri"/>
                <w:sz w:val="20"/>
                <w:szCs w:val="20"/>
              </w:rPr>
            </w:pPr>
          </w:p>
        </w:tc>
      </w:tr>
    </w:tbl>
    <w:p w:rsidR="00855E5B" w:rsidRPr="005420A9" w:rsidRDefault="00855E5B" w:rsidP="00855E5B">
      <w:pPr>
        <w:jc w:val="both"/>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680"/>
          <w:jc w:val="center"/>
        </w:trPr>
        <w:tc>
          <w:tcPr>
            <w:tcW w:w="5000" w:type="pct"/>
            <w:shd w:val="clear" w:color="auto" w:fill="F2F2F2" w:themeFill="background1" w:themeFillShade="F2"/>
          </w:tcPr>
          <w:p w:rsidR="00855E5B" w:rsidRPr="005420A9" w:rsidRDefault="00855E5B" w:rsidP="00984BE6">
            <w:pPr>
              <w:jc w:val="both"/>
              <w:rPr>
                <w:rFonts w:eastAsia="Calibri"/>
                <w:i/>
                <w:sz w:val="20"/>
                <w:szCs w:val="20"/>
              </w:rPr>
            </w:pPr>
            <w:r w:rsidRPr="005420A9">
              <w:rPr>
                <w:rFonts w:eastAsia="Calibri"/>
                <w:i/>
                <w:sz w:val="20"/>
                <w:szCs w:val="20"/>
              </w:rPr>
              <w:lastRenderedPageBreak/>
              <w:t>Kvantifikujte rast alebo pokles príjmov/výdavkov za jednotlivé ovplyvnené skupiny domácností / skupiny jednotlivcov a počet obyvateľstva/domácností ovplyvnených predkladaným materiálom.</w:t>
            </w:r>
          </w:p>
          <w:p w:rsidR="00855E5B" w:rsidRPr="005420A9" w:rsidRDefault="00855E5B" w:rsidP="00984BE6">
            <w:pPr>
              <w:jc w:val="both"/>
              <w:rPr>
                <w:rFonts w:eastAsia="Calibri"/>
                <w:i/>
                <w:sz w:val="20"/>
                <w:szCs w:val="20"/>
              </w:rPr>
            </w:pPr>
            <w:r w:rsidRPr="005420A9">
              <w:rPr>
                <w:rFonts w:eastAsia="Calibri"/>
                <w:i/>
                <w:sz w:val="20"/>
                <w:szCs w:val="20"/>
              </w:rPr>
              <w:t>V prípade vyššieho počtu ovplyvnených skupín doplňte do tabuľky ďalšie riadky.</w:t>
            </w:r>
          </w:p>
          <w:p w:rsidR="00855E5B" w:rsidRPr="005420A9" w:rsidRDefault="00855E5B" w:rsidP="00984BE6">
            <w:pPr>
              <w:tabs>
                <w:tab w:val="left" w:pos="3505"/>
              </w:tabs>
              <w:rPr>
                <w:rFonts w:eastAsia="Calibri"/>
                <w:sz w:val="20"/>
                <w:szCs w:val="20"/>
              </w:rPr>
            </w:pPr>
            <w:r w:rsidRPr="005420A9">
              <w:rPr>
                <w:rFonts w:eastAsia="Calibri"/>
                <w:i/>
                <w:sz w:val="20"/>
                <w:szCs w:val="20"/>
              </w:rPr>
              <w:t>V prípade, ak neuvádzate kvantifikáciu, uveďte dôvod.</w:t>
            </w:r>
          </w:p>
        </w:tc>
      </w:tr>
    </w:tbl>
    <w:p w:rsidR="00855E5B" w:rsidRPr="005420A9" w:rsidRDefault="00855E5B" w:rsidP="00855E5B">
      <w:pPr>
        <w:jc w:val="both"/>
        <w:rPr>
          <w:rFonts w:eastAsia="Calibri"/>
          <w:b/>
          <w:i/>
          <w:sz w:val="20"/>
          <w:szCs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855E5B" w:rsidRPr="005420A9" w:rsidTr="00984BE6">
        <w:trPr>
          <w:trHeight w:val="286"/>
          <w:jc w:val="center"/>
        </w:trPr>
        <w:tc>
          <w:tcPr>
            <w:tcW w:w="5000" w:type="pct"/>
            <w:gridSpan w:val="2"/>
            <w:tcBorders>
              <w:top w:val="nil"/>
            </w:tcBorders>
            <w:shd w:val="clear" w:color="auto" w:fill="auto"/>
          </w:tcPr>
          <w:p w:rsidR="00855E5B" w:rsidRPr="005420A9" w:rsidRDefault="00855E5B" w:rsidP="00984BE6">
            <w:pPr>
              <w:jc w:val="both"/>
              <w:rPr>
                <w:rFonts w:eastAsia="Calibri"/>
                <w:i/>
                <w:sz w:val="20"/>
                <w:szCs w:val="20"/>
              </w:rPr>
            </w:pPr>
            <w:r w:rsidRPr="005420A9">
              <w:rPr>
                <w:rFonts w:eastAsia="Calibri"/>
                <w:b/>
                <w:i/>
                <w:sz w:val="20"/>
                <w:szCs w:val="20"/>
              </w:rPr>
              <w:lastRenderedPageBreak/>
              <w:t>Ovplyvnená skupina č. 1:</w:t>
            </w:r>
          </w:p>
        </w:tc>
      </w:tr>
      <w:tr w:rsidR="00855E5B" w:rsidRPr="005420A9" w:rsidTr="00984BE6">
        <w:trPr>
          <w:trHeight w:val="503"/>
          <w:jc w:val="center"/>
        </w:trPr>
        <w:tc>
          <w:tcPr>
            <w:tcW w:w="2500" w:type="pct"/>
            <w:tcBorders>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363"/>
          <w:jc w:val="center"/>
        </w:trPr>
        <w:tc>
          <w:tcPr>
            <w:tcW w:w="2500" w:type="pct"/>
            <w:tcBorders>
              <w:top w:val="single" w:sz="4" w:space="0" w:color="BFBFBF" w:themeColor="background1" w:themeShade="BF"/>
              <w:bottom w:val="single" w:sz="4" w:space="0" w:color="auto"/>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265"/>
          <w:jc w:val="center"/>
        </w:trPr>
        <w:tc>
          <w:tcPr>
            <w:tcW w:w="5000" w:type="pct"/>
            <w:gridSpan w:val="2"/>
            <w:tcBorders>
              <w:top w:val="single" w:sz="4" w:space="0" w:color="auto"/>
            </w:tcBorders>
            <w:shd w:val="clear" w:color="auto" w:fill="auto"/>
          </w:tcPr>
          <w:p w:rsidR="00855E5B" w:rsidRPr="005420A9" w:rsidRDefault="00855E5B" w:rsidP="00984BE6">
            <w:pPr>
              <w:jc w:val="both"/>
              <w:rPr>
                <w:rFonts w:eastAsia="Calibri"/>
                <w:i/>
                <w:sz w:val="20"/>
                <w:szCs w:val="20"/>
              </w:rPr>
            </w:pPr>
            <w:r w:rsidRPr="005420A9">
              <w:rPr>
                <w:rFonts w:eastAsia="Calibri"/>
                <w:b/>
                <w:i/>
                <w:sz w:val="20"/>
                <w:szCs w:val="20"/>
              </w:rPr>
              <w:t>Ovplyvnená skupina č. 2:</w:t>
            </w:r>
          </w:p>
        </w:tc>
      </w:tr>
      <w:tr w:rsidR="00855E5B" w:rsidRPr="005420A9" w:rsidTr="00984BE6">
        <w:trPr>
          <w:trHeight w:val="587"/>
          <w:jc w:val="center"/>
        </w:trPr>
        <w:tc>
          <w:tcPr>
            <w:tcW w:w="2500" w:type="pct"/>
            <w:tcBorders>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363"/>
          <w:jc w:val="center"/>
        </w:trPr>
        <w:tc>
          <w:tcPr>
            <w:tcW w:w="2500" w:type="pct"/>
            <w:tcBorders>
              <w:top w:val="single" w:sz="4" w:space="0" w:color="BFBFBF" w:themeColor="background1" w:themeShade="BF"/>
            </w:tcBorders>
            <w:shd w:val="clear" w:color="auto" w:fill="auto"/>
          </w:tcPr>
          <w:p w:rsidR="00855E5B" w:rsidRPr="005420A9" w:rsidRDefault="00855E5B" w:rsidP="00984BE6">
            <w:pPr>
              <w:rPr>
                <w:rFonts w:eastAsia="Calibri"/>
                <w:i/>
                <w:sz w:val="20"/>
                <w:szCs w:val="20"/>
              </w:rPr>
            </w:pPr>
            <w:r w:rsidRPr="005420A9">
              <w:rPr>
                <w:rFonts w:eastAsia="Calibri"/>
                <w:i/>
                <w:sz w:val="20"/>
                <w:szCs w:val="20"/>
              </w:rPr>
              <w:t>Veľkosť skupiny (počet obyvateľov):</w:t>
            </w:r>
          </w:p>
        </w:tc>
        <w:tc>
          <w:tcPr>
            <w:tcW w:w="2500" w:type="pct"/>
            <w:tcBorders>
              <w:top w:val="single" w:sz="4" w:space="0" w:color="BFBFBF" w:themeColor="background1" w:themeShade="BF"/>
            </w:tcBorders>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670"/>
          <w:jc w:val="center"/>
        </w:trPr>
        <w:tc>
          <w:tcPr>
            <w:tcW w:w="2500" w:type="pct"/>
            <w:shd w:val="clear" w:color="auto" w:fill="auto"/>
          </w:tcPr>
          <w:p w:rsidR="00855E5B" w:rsidRPr="005420A9" w:rsidRDefault="00855E5B" w:rsidP="00984BE6">
            <w:pPr>
              <w:rPr>
                <w:rFonts w:eastAsia="Calibri"/>
                <w:i/>
                <w:sz w:val="20"/>
                <w:szCs w:val="20"/>
              </w:rPr>
            </w:pPr>
            <w:r w:rsidRPr="005420A9">
              <w:rPr>
                <w:rFonts w:eastAsia="Calibri"/>
                <w:i/>
                <w:sz w:val="20"/>
                <w:szCs w:val="20"/>
              </w:rPr>
              <w:t>Dôvod chýbajúcej kvantifikácie:</w:t>
            </w:r>
          </w:p>
        </w:tc>
        <w:tc>
          <w:tcPr>
            <w:tcW w:w="2500" w:type="pct"/>
            <w:shd w:val="clear" w:color="auto" w:fill="auto"/>
          </w:tcPr>
          <w:p w:rsidR="00855E5B" w:rsidRPr="005420A9" w:rsidRDefault="00855E5B" w:rsidP="00984BE6">
            <w:pPr>
              <w:jc w:val="both"/>
              <w:rPr>
                <w:rFonts w:eastAsia="Calibri"/>
                <w:sz w:val="20"/>
                <w:szCs w:val="20"/>
              </w:rPr>
            </w:pPr>
          </w:p>
        </w:tc>
      </w:tr>
      <w:tr w:rsidR="00855E5B" w:rsidRPr="005420A9" w:rsidTr="00984BE6">
        <w:trPr>
          <w:trHeight w:val="670"/>
          <w:jc w:val="center"/>
        </w:trPr>
        <w:tc>
          <w:tcPr>
            <w:tcW w:w="2500" w:type="pct"/>
            <w:shd w:val="clear" w:color="auto" w:fill="auto"/>
          </w:tcPr>
          <w:p w:rsidR="00855E5B" w:rsidRPr="005420A9" w:rsidRDefault="00855E5B" w:rsidP="00984BE6">
            <w:pPr>
              <w:jc w:val="both"/>
              <w:rPr>
                <w:rFonts w:eastAsia="Calibri"/>
                <w:i/>
              </w:rPr>
            </w:pPr>
            <w:r w:rsidRPr="005420A9">
              <w:rPr>
                <w:rFonts w:eastAsia="Calibri"/>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855E5B" w:rsidRPr="005420A9" w:rsidRDefault="00855E5B" w:rsidP="00984BE6">
            <w:pPr>
              <w:jc w:val="both"/>
              <w:rPr>
                <w:rFonts w:eastAsia="Calibri"/>
                <w:sz w:val="20"/>
                <w:szCs w:val="20"/>
              </w:rPr>
            </w:pPr>
          </w:p>
        </w:tc>
      </w:tr>
    </w:tbl>
    <w:p w:rsidR="00855E5B" w:rsidRPr="005420A9" w:rsidRDefault="00855E5B" w:rsidP="00855E5B">
      <w:pPr>
        <w:rPr>
          <w:sz w:val="20"/>
          <w:szCs w:val="20"/>
        </w:rPr>
      </w:pPr>
    </w:p>
    <w:p w:rsidR="00855E5B" w:rsidRPr="005420A9" w:rsidRDefault="00855E5B" w:rsidP="00855E5B">
      <w:pPr>
        <w:rPr>
          <w:rFonts w:eastAsia="Calibri"/>
          <w:b/>
        </w:rPr>
      </w:pPr>
    </w:p>
    <w:p w:rsidR="00855E5B" w:rsidRPr="005420A9" w:rsidRDefault="00855E5B" w:rsidP="00855E5B">
      <w:pPr>
        <w:rPr>
          <w:rFonts w:eastAsia="Calibri"/>
          <w:b/>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339"/>
          <w:jc w:val="center"/>
        </w:trPr>
        <w:tc>
          <w:tcPr>
            <w:tcW w:w="5000" w:type="pct"/>
            <w:tcBorders>
              <w:bottom w:val="single" w:sz="4" w:space="0" w:color="auto"/>
            </w:tcBorders>
            <w:shd w:val="clear" w:color="auto" w:fill="D9D9D9"/>
          </w:tcPr>
          <w:p w:rsidR="00855E5B" w:rsidRPr="005420A9" w:rsidRDefault="00855E5B" w:rsidP="00984BE6">
            <w:pPr>
              <w:rPr>
                <w:rFonts w:eastAsia="Calibri"/>
                <w:b/>
              </w:rPr>
            </w:pPr>
            <w:r w:rsidRPr="005420A9">
              <w:rPr>
                <w:rFonts w:eastAsia="Calibri"/>
                <w:b/>
              </w:rPr>
              <w:lastRenderedPageBreak/>
              <w:t>4.2 Identifikujte, popíšte a kvantifikujte vplyvy na prístup k zdrojom, právam, tovarom a službám u jednotlivých ovplyvnených skupín obyvateľstva a vplyv na sociálnu inklúziu.</w:t>
            </w:r>
          </w:p>
        </w:tc>
      </w:tr>
      <w:tr w:rsidR="00855E5B" w:rsidRPr="005420A9" w:rsidTr="00984BE6">
        <w:trPr>
          <w:trHeight w:val="290"/>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sz w:val="20"/>
              </w:rPr>
            </w:pPr>
            <w:r w:rsidRPr="005420A9">
              <w:rPr>
                <w:rFonts w:eastAsia="Calibri"/>
                <w:i/>
                <w:sz w:val="20"/>
              </w:rPr>
              <w:t xml:space="preserve">Má návrh vplyv na prístup k zdrojom, právam, tovarom a službám? </w:t>
            </w:r>
          </w:p>
          <w:p w:rsidR="00855E5B" w:rsidRPr="005420A9" w:rsidRDefault="00855E5B" w:rsidP="00984BE6">
            <w:pPr>
              <w:jc w:val="both"/>
              <w:rPr>
                <w:rFonts w:eastAsia="Calibri"/>
                <w:i/>
              </w:rPr>
            </w:pPr>
            <w:r w:rsidRPr="005420A9">
              <w:rPr>
                <w:rFonts w:eastAsia="Calibri"/>
                <w:i/>
                <w:sz w:val="20"/>
              </w:rPr>
              <w:t>Špecifikujete ovplyvnené skupiny obyvateľstva a charakter zmeny v prístupnosti s ohľadom na dostupnosť finančnú, geografickú, kvalitu, organizovanie a pod. Uveďte veľkosť jednotlivých ovplyvnených skupín.</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557"/>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Rozumie sa najmä na prístup k:</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sociálnej ochrane, sociálno-právnej ochrane, sociálnym službám (vrátane služieb starostlivosti o deti, starších ľudí a ľudí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kvalitnej práci, ochrane zdravia, dôstojnosti a bezpečnosti pri práci pre zamestnancov a existujúcim zamestnaneckým právam,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pomoci pri úhrade výdavkov súvisiacich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zamestnaniu, na trh práce (napr. uľahčenie zosúladenia rodinných a pracovných povinností, služby zamestnanosti), k školeniam, odbornému vzdelávaniu a príprave na trh práce,</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 xml:space="preserve">zdravotnej starostlivosti vrátane cenovo dostupných pomôcok pre občanov so zdravotným postihnutím,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k formálnemu i neformálnemu vzdelávaniu a celo</w:t>
            </w:r>
            <w:r w:rsidRPr="005420A9">
              <w:rPr>
                <w:rFonts w:eastAsia="Calibri"/>
                <w:i/>
                <w:sz w:val="18"/>
                <w:szCs w:val="18"/>
              </w:rPr>
              <w:softHyphen/>
              <w:t xml:space="preserve">životnému vzdelávaniu, </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bývaniu a súvisiacim základným komunálnym službám,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doprave,</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ďalším službám najmä službám všeobecného záujmu a tovarom,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spravodlivosti, právnej ochrane, právnym službám,</w:t>
            </w:r>
          </w:p>
          <w:p w:rsidR="00855E5B" w:rsidRPr="005420A9" w:rsidRDefault="00855E5B" w:rsidP="00855E5B">
            <w:pPr>
              <w:numPr>
                <w:ilvl w:val="0"/>
                <w:numId w:val="1"/>
              </w:numPr>
              <w:jc w:val="both"/>
              <w:rPr>
                <w:rFonts w:eastAsia="Calibri"/>
                <w:i/>
                <w:sz w:val="18"/>
                <w:szCs w:val="18"/>
              </w:rPr>
            </w:pPr>
            <w:r w:rsidRPr="005420A9">
              <w:rPr>
                <w:rFonts w:eastAsia="Calibri"/>
                <w:i/>
                <w:sz w:val="18"/>
                <w:szCs w:val="18"/>
              </w:rPr>
              <w:t>informáciám</w:t>
            </w:r>
          </w:p>
          <w:p w:rsidR="00855E5B" w:rsidRPr="005420A9" w:rsidRDefault="00855E5B" w:rsidP="00855E5B">
            <w:pPr>
              <w:numPr>
                <w:ilvl w:val="0"/>
                <w:numId w:val="1"/>
              </w:numPr>
              <w:jc w:val="both"/>
              <w:rPr>
                <w:rFonts w:eastAsia="Calibri"/>
                <w:i/>
                <w:sz w:val="20"/>
                <w:szCs w:val="20"/>
              </w:rPr>
            </w:pPr>
            <w:r w:rsidRPr="005420A9">
              <w:rPr>
                <w:rFonts w:eastAsia="Calibri"/>
                <w:i/>
                <w:sz w:val="18"/>
                <w:szCs w:val="18"/>
              </w:rPr>
              <w:t>k iným právam (napr. politickým).</w:t>
            </w:r>
          </w:p>
        </w:tc>
        <w:tc>
          <w:tcPr>
            <w:tcW w:w="3007" w:type="pct"/>
            <w:shd w:val="clear" w:color="auto" w:fill="auto"/>
          </w:tcPr>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Návrh zákona má výrazný pozitívny vplyv na prístup obyvateľov k informáciám, nakoľko sa sprísnili informačné povinnosti cestovných kancelárií vo vzťahu k cestujúcim. Už vo fáze poskytovania predzmluvných informácií sú cestovné kancelárie povinné odovzdať cestujúcim veľké množstvo informácií, ktoré konkretizujú jednotlivé služby</w:t>
            </w:r>
            <w:r w:rsidR="003820BC">
              <w:rPr>
                <w:rFonts w:eastAsia="Calibri"/>
                <w:sz w:val="20"/>
                <w:szCs w:val="20"/>
              </w:rPr>
              <w:t xml:space="preserve"> cestovného ruchu</w:t>
            </w:r>
            <w:r w:rsidRPr="005420A9">
              <w:rPr>
                <w:rFonts w:eastAsia="Calibri"/>
                <w:sz w:val="20"/>
                <w:szCs w:val="20"/>
              </w:rPr>
              <w:t xml:space="preserve"> prispôsobené individuálnym požiadavkám cestujúceho, spoločne s výpočtom práv cestujúcich, ktoré im vyplývajú zo zmluvy o zájazde a z príslušných právnych predpisov. Medzi inými aj možnosť postúpenia zájazdu na iného cestujúceho, možnosť odstúpenia od zmluvy pre začatím zájazdu, možnosti riešenia problematických situácií počas zájazdu, právo na náhradu škody, právo na pomoc cestujúcim v ťažkostiach od cestovnej kancelárie a jedno z najdôležitejších práv týkajúce sa práva cestujúcich na refundáciu všetkých uhradených platieb v prípade úpadku cestovnej kancelárie. Štandardizoval a zjednotil sa aj charakter informácií, ktoré sú cestovné kancelárie povinné poskytnúť cestujúcim. Nakoľko sa regulovala aj oblasť poskytovania a sprostredkovania spojených cestovných služieb, posilní sa právna istota cestujúcich v tieto služby cestovného ruchu.</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Zároveň majú s výnimkou zákonom stanovených prípadov, tieto informácie záväznú povahu, preto by mala byť zabezpečená aj vyššia istota obyvateľov – cestujúcich vo vzťahu k charakteru a vlastnostiam poskytovaných služieb.</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Nakoľko sa regulovali aj prostriedky komunikácie, ktoré napomáhajú flexibilnejšiemu poskytovaniu služieb cestujúcim (</w:t>
            </w:r>
            <w:proofErr w:type="spellStart"/>
            <w:r w:rsidRPr="005420A9">
              <w:rPr>
                <w:rFonts w:eastAsia="Calibri"/>
                <w:sz w:val="20"/>
                <w:szCs w:val="20"/>
              </w:rPr>
              <w:t>online</w:t>
            </w:r>
            <w:proofErr w:type="spellEnd"/>
            <w:r w:rsidRPr="005420A9">
              <w:rPr>
                <w:rFonts w:eastAsia="Calibri"/>
                <w:sz w:val="20"/>
                <w:szCs w:val="20"/>
              </w:rPr>
              <w:t xml:space="preserve"> predaj, komunikácia prostredníctvom emailov), zvyšuje sa právna istota cestujúcich, že aj v týchto prípadoch sú rovnako chránení. Navyše sa zefektívnil a zrýchlil prístup cestujúcich k informáciám a uľahčuje sa kontakt s cestovnými kanceláriami a cestovnými agentúrami.</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Cestujúci sú tiež chránení v prípade, ak sa cestovná kancelária zodpovedná za zájazd dostane v dôsledku finančných problémov do úpadku, nakoľko je im na základe zákona garantované vrátenie všetkých platieb, ktoré zaplatili cestovnej za služby</w:t>
            </w:r>
            <w:r w:rsidR="003820BC">
              <w:rPr>
                <w:rFonts w:eastAsia="Calibri"/>
                <w:sz w:val="20"/>
                <w:szCs w:val="20"/>
              </w:rPr>
              <w:t xml:space="preserve"> cestovného ruchu</w:t>
            </w:r>
            <w:r w:rsidRPr="005420A9">
              <w:rPr>
                <w:rFonts w:eastAsia="Calibri"/>
                <w:sz w:val="20"/>
                <w:szCs w:val="20"/>
              </w:rPr>
              <w:t>, ktoré v dôsledku jej úpadku nemohli adekvátne využiť. Prehlbuje sa tak dôvera cestujúcich k subjektom cestovného ruchu.</w:t>
            </w:r>
          </w:p>
          <w:p w:rsidR="00855E5B" w:rsidRPr="005420A9" w:rsidRDefault="00855E5B" w:rsidP="00984BE6">
            <w:pPr>
              <w:jc w:val="both"/>
              <w:rPr>
                <w:rFonts w:eastAsia="Calibri"/>
                <w:sz w:val="20"/>
                <w:szCs w:val="20"/>
              </w:rPr>
            </w:pPr>
          </w:p>
          <w:p w:rsidR="00855E5B" w:rsidRPr="005420A9" w:rsidRDefault="00855E5B" w:rsidP="00984BE6">
            <w:pPr>
              <w:jc w:val="both"/>
              <w:rPr>
                <w:rFonts w:eastAsia="Calibri"/>
                <w:sz w:val="20"/>
                <w:szCs w:val="20"/>
              </w:rPr>
            </w:pPr>
            <w:r w:rsidRPr="005420A9">
              <w:rPr>
                <w:rFonts w:eastAsia="Calibri"/>
                <w:sz w:val="20"/>
                <w:szCs w:val="20"/>
              </w:rPr>
              <w:t xml:space="preserve">Pre cestujúcich bude tiež </w:t>
            </w:r>
            <w:proofErr w:type="spellStart"/>
            <w:r w:rsidRPr="005420A9">
              <w:rPr>
                <w:rFonts w:eastAsia="Calibri"/>
                <w:sz w:val="20"/>
                <w:szCs w:val="20"/>
              </w:rPr>
              <w:t>online</w:t>
            </w:r>
            <w:proofErr w:type="spellEnd"/>
            <w:r w:rsidRPr="005420A9">
              <w:rPr>
                <w:rFonts w:eastAsia="Calibri"/>
                <w:sz w:val="20"/>
                <w:szCs w:val="20"/>
              </w:rPr>
              <w:t xml:space="preserve"> prístupný zoznam všetkých cestovných kancelárií spoločne so základnými údajmi. Jednou z povinných informácií bude aj informácia o platnej a účinnej ochrane cestovnej kancelárie pre prípad úpadku. V prípade, ak budú zistené vo vzťahu k ochrane pre prípad úpadku nedostatky (napr. jej bude predbežným opatrením Slovenskej obchodnej inšpekcie zakázaný predaj zájazdov cestujúcim) alebo táto ochrana bude úplne absentovať, takáto informácia bude pre cestujúcich rovnako prístupná </w:t>
            </w:r>
            <w:proofErr w:type="spellStart"/>
            <w:r w:rsidRPr="005420A9">
              <w:rPr>
                <w:rFonts w:eastAsia="Calibri"/>
                <w:sz w:val="20"/>
                <w:szCs w:val="20"/>
              </w:rPr>
              <w:t>online</w:t>
            </w:r>
            <w:proofErr w:type="spellEnd"/>
            <w:r w:rsidRPr="005420A9">
              <w:rPr>
                <w:rFonts w:eastAsia="Calibri"/>
                <w:sz w:val="20"/>
                <w:szCs w:val="20"/>
              </w:rPr>
              <w:t xml:space="preserve">. Cestujúci si tak budú vedieť overiť dôveryhodnosť danej cestovnej kancelárie a splnenie všetkých zákonných podmienok. Tento prostriedok priamej komunikácie medzi cestujúcimi a štátnymi orgánmi dohliadajúcimi nad sektorom cestovného ruchu bude vo vzťahu k informovanosti cestujúcich veľkým prínosom. </w:t>
            </w:r>
          </w:p>
          <w:p w:rsidR="00855E5B" w:rsidRPr="005420A9" w:rsidRDefault="00855E5B" w:rsidP="00984BE6">
            <w:pPr>
              <w:jc w:val="both"/>
              <w:rPr>
                <w:rFonts w:eastAsia="Calibri"/>
                <w:sz w:val="20"/>
                <w:szCs w:val="20"/>
              </w:rPr>
            </w:pPr>
          </w:p>
          <w:p w:rsidR="00855E5B" w:rsidRPr="005420A9" w:rsidRDefault="00855E5B" w:rsidP="00984BE6">
            <w:pPr>
              <w:jc w:val="both"/>
            </w:pPr>
            <w:r w:rsidRPr="005420A9">
              <w:rPr>
                <w:rFonts w:eastAsia="Calibri"/>
                <w:sz w:val="20"/>
                <w:szCs w:val="20"/>
              </w:rPr>
              <w:t>Ovplyvnenou skupinou sú v tomto prípade občania – cestujúci, ale vzhľadom na veľký rozsah sektora cestovného ruchu sa počet dotknutých subjektov nedá kvantifikovať.</w:t>
            </w:r>
          </w:p>
        </w:tc>
      </w:tr>
    </w:tbl>
    <w:p w:rsidR="00855E5B" w:rsidRPr="005420A9" w:rsidRDefault="00855E5B" w:rsidP="00855E5B">
      <w:pPr>
        <w:jc w:val="both"/>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sz w:val="20"/>
                <w:szCs w:val="20"/>
              </w:rPr>
            </w:pPr>
            <w:r w:rsidRPr="005420A9">
              <w:rPr>
                <w:rFonts w:eastAsia="Calibri"/>
                <w:i/>
                <w:sz w:val="20"/>
                <w:szCs w:val="20"/>
              </w:rPr>
              <w:lastRenderedPageBreak/>
              <w:t xml:space="preserve">Má návrh významný vplyv na niektorú zo zraniteľných skupín obyvateľstva alebo skupín v riziku chudoby alebo sociálneho vylúčenia?      </w:t>
            </w:r>
          </w:p>
          <w:p w:rsidR="00855E5B" w:rsidRPr="005420A9" w:rsidRDefault="00855E5B" w:rsidP="00984BE6">
            <w:pPr>
              <w:jc w:val="both"/>
              <w:rPr>
                <w:rFonts w:eastAsia="Calibri"/>
                <w:i/>
              </w:rPr>
            </w:pPr>
            <w:r w:rsidRPr="005420A9">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677"/>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Zraniteľné skupiny alebo skupiny v riziku chudoby alebo sociálneho vylúčenia sú napr.:</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nezamestnaní, najmä dlhodobo nezamestnaní, mladí nezamestnaní a nezamestnaní nad 50 rokov,</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deti (0 – 17),</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mladí ľudia (18 – 25 rokov),</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starší ľudia, napr. ľudia vo veku nad 65 rokov alebo dôchodcovia,</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ľudia so zdravotným postihnutím,</w:t>
            </w:r>
          </w:p>
          <w:p w:rsidR="00855E5B" w:rsidRPr="005420A9" w:rsidRDefault="00855E5B" w:rsidP="00855E5B">
            <w:pPr>
              <w:numPr>
                <w:ilvl w:val="0"/>
                <w:numId w:val="2"/>
              </w:numPr>
              <w:jc w:val="both"/>
              <w:rPr>
                <w:rFonts w:eastAsia="Calibri"/>
                <w:i/>
                <w:sz w:val="18"/>
                <w:szCs w:val="18"/>
              </w:rPr>
            </w:pPr>
            <w:proofErr w:type="spellStart"/>
            <w:r w:rsidRPr="005420A9">
              <w:rPr>
                <w:rFonts w:eastAsia="Calibri"/>
                <w:i/>
                <w:sz w:val="18"/>
                <w:szCs w:val="18"/>
              </w:rPr>
              <w:t>marginalizované</w:t>
            </w:r>
            <w:proofErr w:type="spellEnd"/>
            <w:r w:rsidRPr="005420A9">
              <w:rPr>
                <w:rFonts w:eastAsia="Calibri"/>
                <w:i/>
                <w:sz w:val="18"/>
                <w:szCs w:val="18"/>
              </w:rPr>
              <w:t xml:space="preserve"> rómske komunity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domácnosti s 3 a viac deťmi,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jednorodičovské domácnosti s deťmi (neúplné rodiny, ktoré tvoria najmä osamelé matky s deťmi),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príslušníci tretích krajín, azylanti, žiadatelia o azyl,</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iné zraniteľné skupiny, ako sú napr. bezdomovci, ľudia opúšťajúci detské domovy alebo iné inštitucionálne zariadenia</w:t>
            </w:r>
          </w:p>
        </w:tc>
        <w:tc>
          <w:tcPr>
            <w:tcW w:w="3007" w:type="pct"/>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tc>
      </w:tr>
    </w:tbl>
    <w:p w:rsidR="00855E5B" w:rsidRPr="005420A9" w:rsidRDefault="00855E5B" w:rsidP="00855E5B"/>
    <w:p w:rsidR="00855E5B" w:rsidRPr="005420A9" w:rsidRDefault="00855E5B" w:rsidP="00855E5B">
      <w:pPr>
        <w:rPr>
          <w:rFonts w:eastAsia="Calibri"/>
          <w:b/>
        </w:rPr>
        <w:sectPr w:rsidR="00855E5B" w:rsidRPr="005420A9" w:rsidSect="00992440">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jc w:val="center"/>
        </w:trPr>
        <w:tc>
          <w:tcPr>
            <w:tcW w:w="5000" w:type="pct"/>
            <w:shd w:val="clear" w:color="auto" w:fill="D9D9D9"/>
          </w:tcPr>
          <w:p w:rsidR="00855E5B" w:rsidRPr="005420A9" w:rsidRDefault="00855E5B" w:rsidP="00984BE6">
            <w:pPr>
              <w:rPr>
                <w:rFonts w:eastAsia="Calibri"/>
                <w:b/>
              </w:rPr>
            </w:pPr>
            <w:r w:rsidRPr="005420A9">
              <w:rPr>
                <w:rFonts w:eastAsia="Calibri"/>
                <w:b/>
              </w:rPr>
              <w:lastRenderedPageBreak/>
              <w:t>4.3 Identifikujte a popíšte vplyv na rovnosť príležitostí.</w:t>
            </w:r>
          </w:p>
          <w:p w:rsidR="00855E5B" w:rsidRPr="005420A9" w:rsidRDefault="00855E5B" w:rsidP="00984BE6">
            <w:pPr>
              <w:ind w:left="340"/>
              <w:jc w:val="both"/>
              <w:rPr>
                <w:rFonts w:eastAsia="Calibri"/>
              </w:rPr>
            </w:pPr>
            <w:r w:rsidRPr="005420A9">
              <w:rPr>
                <w:rFonts w:eastAsia="Calibri"/>
                <w:b/>
              </w:rPr>
              <w:t>Identifikujte, popíšte a kvantifikujte vplyv na rodovú rovnosť.</w:t>
            </w:r>
          </w:p>
        </w:tc>
      </w:tr>
      <w:tr w:rsidR="00855E5B" w:rsidRPr="005420A9" w:rsidTr="00984BE6">
        <w:trPr>
          <w:jc w:val="center"/>
        </w:trPr>
        <w:tc>
          <w:tcPr>
            <w:tcW w:w="5000" w:type="pct"/>
            <w:tcBorders>
              <w:bottom w:val="single" w:sz="4" w:space="0" w:color="auto"/>
            </w:tcBorders>
            <w:shd w:val="clear" w:color="auto" w:fill="F2F2F2"/>
          </w:tcPr>
          <w:p w:rsidR="00855E5B" w:rsidRPr="005420A9" w:rsidRDefault="00855E5B" w:rsidP="00984BE6">
            <w:pPr>
              <w:jc w:val="both"/>
              <w:rPr>
                <w:rFonts w:eastAsia="Calibri"/>
                <w:i/>
              </w:rPr>
            </w:pPr>
            <w:r w:rsidRPr="005420A9">
              <w:rPr>
                <w:rFonts w:eastAsia="Calibri"/>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855E5B" w:rsidRPr="005420A9" w:rsidRDefault="00855E5B" w:rsidP="00855E5B">
      <w:pPr>
        <w:rPr>
          <w:rFonts w:eastAsia="Calibri"/>
          <w:sz w:val="20"/>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928"/>
          <w:jc w:val="center"/>
        </w:trPr>
        <w:tc>
          <w:tcPr>
            <w:tcW w:w="5000" w:type="pct"/>
            <w:tcBorders>
              <w:top w:val="nil"/>
              <w:bottom w:val="nil"/>
            </w:tcBorders>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p w:rsidR="00855E5B" w:rsidRPr="005420A9" w:rsidRDefault="00855E5B" w:rsidP="00984BE6">
            <w:pPr>
              <w:rPr>
                <w:rFonts w:eastAsia="Calibri"/>
                <w:i/>
                <w:sz w:val="20"/>
              </w:rPr>
            </w:pPr>
          </w:p>
        </w:tc>
      </w:tr>
    </w:tbl>
    <w:p w:rsidR="00855E5B" w:rsidRPr="005420A9" w:rsidRDefault="00855E5B" w:rsidP="00855E5B">
      <w:pPr>
        <w:rPr>
          <w:rFonts w:eastAsia="Calibri"/>
          <w:i/>
          <w:sz w:val="20"/>
          <w:szCs w:val="20"/>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855E5B" w:rsidRPr="005420A9" w:rsidTr="00984BE6">
        <w:trPr>
          <w:trHeight w:val="345"/>
          <w:jc w:val="center"/>
        </w:trPr>
        <w:tc>
          <w:tcPr>
            <w:tcW w:w="5000" w:type="pct"/>
            <w:tcBorders>
              <w:bottom w:val="single" w:sz="4" w:space="0" w:color="auto"/>
            </w:tcBorders>
            <w:shd w:val="clear" w:color="auto" w:fill="F2F2F2"/>
            <w:vAlign w:val="center"/>
          </w:tcPr>
          <w:p w:rsidR="00855E5B" w:rsidRPr="005420A9" w:rsidRDefault="00855E5B" w:rsidP="00984BE6">
            <w:pPr>
              <w:rPr>
                <w:rFonts w:eastAsia="Calibri"/>
                <w:i/>
                <w:sz w:val="20"/>
                <w:szCs w:val="20"/>
              </w:rPr>
            </w:pPr>
            <w:r w:rsidRPr="005420A9">
              <w:rPr>
                <w:rFonts w:eastAsia="Calibri"/>
                <w:i/>
                <w:sz w:val="20"/>
                <w:szCs w:val="20"/>
              </w:rPr>
              <w:lastRenderedPageBreak/>
              <w:t>Môže mať návrh odlišný vplyv na ženy a mužov? Podporuje návrh rovnosť medzi ženami a mužmi alebo naopak bude viesť k zväčšovaniu rodových nerovností? Popíšte vplyvy.</w:t>
            </w:r>
          </w:p>
        </w:tc>
      </w:tr>
    </w:tbl>
    <w:p w:rsidR="00855E5B" w:rsidRPr="005420A9" w:rsidRDefault="00855E5B" w:rsidP="00855E5B">
      <w:pPr>
        <w:jc w:val="both"/>
        <w:rPr>
          <w:rFonts w:eastAsia="Calibri"/>
          <w:i/>
          <w:sz w:val="18"/>
          <w:szCs w:val="18"/>
        </w:rPr>
        <w:sectPr w:rsidR="00855E5B" w:rsidRPr="005420A9" w:rsidSect="0099244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855E5B" w:rsidRPr="005420A9" w:rsidTr="00984BE6">
        <w:trPr>
          <w:trHeight w:val="1235"/>
          <w:jc w:val="center"/>
        </w:trPr>
        <w:tc>
          <w:tcPr>
            <w:tcW w:w="1993" w:type="pct"/>
            <w:shd w:val="clear" w:color="auto" w:fill="auto"/>
          </w:tcPr>
          <w:p w:rsidR="00855E5B" w:rsidRPr="005420A9" w:rsidRDefault="00855E5B" w:rsidP="00984BE6">
            <w:pPr>
              <w:jc w:val="both"/>
              <w:rPr>
                <w:rFonts w:eastAsia="Calibri"/>
                <w:i/>
                <w:sz w:val="18"/>
                <w:szCs w:val="18"/>
              </w:rPr>
            </w:pPr>
            <w:r w:rsidRPr="005420A9">
              <w:rPr>
                <w:rFonts w:eastAsia="Calibri"/>
                <w:i/>
                <w:sz w:val="18"/>
                <w:szCs w:val="18"/>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podpora vyrovnávania ekonomickej nezávislosti,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zosúladenie pracovného, súkromného a rodinného života,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podpora rovnej participácie na rozhodovaní,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 xml:space="preserve">boj proti rodovo podmienenému násiliu a obchodovaniu s ľuďmi, </w:t>
            </w:r>
          </w:p>
          <w:p w:rsidR="00855E5B" w:rsidRPr="005420A9" w:rsidRDefault="00855E5B" w:rsidP="00855E5B">
            <w:pPr>
              <w:numPr>
                <w:ilvl w:val="0"/>
                <w:numId w:val="2"/>
              </w:numPr>
              <w:jc w:val="both"/>
              <w:rPr>
                <w:rFonts w:eastAsia="Calibri"/>
                <w:i/>
                <w:sz w:val="18"/>
                <w:szCs w:val="18"/>
              </w:rPr>
            </w:pPr>
            <w:r w:rsidRPr="005420A9">
              <w:rPr>
                <w:rFonts w:eastAsia="Calibri"/>
                <w:i/>
                <w:sz w:val="18"/>
                <w:szCs w:val="18"/>
              </w:rPr>
              <w:t>eliminácia rodových stereotypov.</w:t>
            </w:r>
          </w:p>
        </w:tc>
        <w:tc>
          <w:tcPr>
            <w:tcW w:w="3007" w:type="pct"/>
            <w:shd w:val="clear" w:color="auto" w:fill="auto"/>
          </w:tcPr>
          <w:p w:rsidR="00855E5B" w:rsidRPr="005420A9" w:rsidRDefault="00855E5B" w:rsidP="00984BE6">
            <w:pPr>
              <w:rPr>
                <w:rFonts w:eastAsia="Calibri"/>
                <w:sz w:val="20"/>
              </w:rPr>
            </w:pPr>
          </w:p>
          <w:p w:rsidR="00855E5B" w:rsidRPr="005420A9" w:rsidRDefault="00855E5B" w:rsidP="00984BE6">
            <w:pPr>
              <w:rPr>
                <w:rFonts w:eastAsia="Calibri"/>
                <w:sz w:val="20"/>
              </w:rPr>
            </w:pPr>
          </w:p>
          <w:p w:rsidR="00855E5B" w:rsidRPr="005420A9" w:rsidRDefault="00855E5B" w:rsidP="00984BE6">
            <w:pPr>
              <w:rPr>
                <w:rFonts w:eastAsia="Calibri"/>
                <w:sz w:val="20"/>
              </w:rPr>
            </w:pPr>
            <w:r w:rsidRPr="005420A9">
              <w:rPr>
                <w:rFonts w:eastAsia="Calibri"/>
                <w:sz w:val="20"/>
              </w:rPr>
              <w:t>.</w:t>
            </w:r>
          </w:p>
        </w:tc>
      </w:tr>
    </w:tbl>
    <w:p w:rsidR="00855E5B" w:rsidRPr="005420A9" w:rsidRDefault="00855E5B" w:rsidP="00855E5B">
      <w:pPr>
        <w:rPr>
          <w:rFonts w:eastAsia="Calibri"/>
          <w:b/>
        </w:rPr>
        <w:sectPr w:rsidR="00855E5B" w:rsidRPr="005420A9" w:rsidSect="00992440">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855E5B" w:rsidRPr="005420A9" w:rsidTr="00855E5B">
        <w:trPr>
          <w:jc w:val="center"/>
        </w:trPr>
        <w:tc>
          <w:tcPr>
            <w:tcW w:w="4998" w:type="pct"/>
            <w:gridSpan w:val="2"/>
            <w:shd w:val="clear" w:color="auto" w:fill="D9D9D9"/>
          </w:tcPr>
          <w:p w:rsidR="00855E5B" w:rsidRPr="005420A9" w:rsidRDefault="00855E5B" w:rsidP="00984BE6">
            <w:pPr>
              <w:rPr>
                <w:rFonts w:eastAsia="Calibri"/>
                <w:b/>
              </w:rPr>
            </w:pPr>
            <w:r w:rsidRPr="005420A9">
              <w:rPr>
                <w:rFonts w:eastAsia="Calibri"/>
                <w:b/>
              </w:rPr>
              <w:lastRenderedPageBreak/>
              <w:t>4.4 Identifikujte, popíšte a kvantifikujte vplyvy na zamestnanosť a na trh práce.</w:t>
            </w:r>
          </w:p>
          <w:p w:rsidR="00855E5B" w:rsidRPr="005420A9" w:rsidRDefault="00855E5B" w:rsidP="00984BE6">
            <w:pPr>
              <w:jc w:val="both"/>
              <w:rPr>
                <w:rFonts w:eastAsia="Calibri"/>
                <w:i/>
              </w:rPr>
            </w:pPr>
            <w:r w:rsidRPr="005420A9">
              <w:rPr>
                <w:rFonts w:eastAsia="Calibri"/>
                <w:i/>
              </w:rPr>
              <w:t xml:space="preserve">V prípade kladnej odpovede pripojte </w:t>
            </w:r>
            <w:r w:rsidRPr="005420A9">
              <w:rPr>
                <w:rFonts w:eastAsia="Calibri"/>
                <w:b/>
                <w:i/>
              </w:rPr>
              <w:t>odôvodnenie</w:t>
            </w:r>
            <w:r w:rsidRPr="005420A9">
              <w:rPr>
                <w:rFonts w:eastAsia="Calibri"/>
                <w:i/>
              </w:rPr>
              <w:t xml:space="preserve"> v súlade s Metodickým postupom pre analýzu sociálnych vplyvov.</w:t>
            </w:r>
          </w:p>
        </w:tc>
      </w:tr>
      <w:tr w:rsidR="00855E5B" w:rsidRPr="005420A9" w:rsidTr="00984BE6">
        <w:trPr>
          <w:trHeight w:val="287"/>
          <w:jc w:val="center"/>
        </w:trPr>
        <w:tc>
          <w:tcPr>
            <w:tcW w:w="5000" w:type="pct"/>
            <w:gridSpan w:val="2"/>
            <w:tcBorders>
              <w:top w:val="nil"/>
              <w:bottom w:val="single" w:sz="4" w:space="0" w:color="auto"/>
            </w:tcBorders>
            <w:shd w:val="clear" w:color="auto" w:fill="F2F2F2"/>
          </w:tcPr>
          <w:p w:rsidR="00855E5B" w:rsidRPr="005420A9" w:rsidRDefault="00855E5B" w:rsidP="00984BE6">
            <w:pPr>
              <w:rPr>
                <w:rFonts w:eastAsia="Calibri"/>
                <w:i/>
                <w:sz w:val="20"/>
                <w:szCs w:val="20"/>
              </w:rPr>
            </w:pPr>
            <w:r w:rsidRPr="005420A9">
              <w:rPr>
                <w:rFonts w:eastAsia="Calibri"/>
                <w:i/>
                <w:sz w:val="20"/>
                <w:szCs w:val="20"/>
              </w:rPr>
              <w:t>Uľahčuje návrh vznik nových pracovných miest? Ak áno, ako? Ak je to možné, doplňte kvantifikáciu.</w:t>
            </w:r>
          </w:p>
        </w:tc>
      </w:tr>
      <w:tr w:rsidR="00855E5B" w:rsidRPr="005420A9" w:rsidTr="00984BE6">
        <w:trPr>
          <w:trHeight w:val="567"/>
          <w:jc w:val="center"/>
        </w:trPr>
        <w:tc>
          <w:tcPr>
            <w:tcW w:w="1993" w:type="pct"/>
            <w:tcBorders>
              <w:top w:val="nil"/>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70"/>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i/>
                <w:sz w:val="20"/>
                <w:szCs w:val="20"/>
              </w:rPr>
            </w:pPr>
            <w:r w:rsidRPr="005420A9">
              <w:rPr>
                <w:rFonts w:eastAsia="Calibri"/>
                <w:i/>
                <w:sz w:val="20"/>
                <w:szCs w:val="20"/>
              </w:rPr>
              <w:t>Vedie návrh k zániku pracovných miest?</w:t>
            </w:r>
            <w:r w:rsidRPr="005420A9">
              <w:rPr>
                <w:rFonts w:eastAsia="Calibri"/>
                <w:sz w:val="20"/>
                <w:szCs w:val="20"/>
              </w:rPr>
              <w:t xml:space="preserve"> </w:t>
            </w:r>
            <w:r w:rsidRPr="005420A9">
              <w:rPr>
                <w:rFonts w:eastAsia="Calibri"/>
                <w:i/>
                <w:sz w:val="20"/>
                <w:szCs w:val="20"/>
              </w:rPr>
              <w:t>Ak áno, ako a akých? Ak je to možné, doplňte kvantifikáciu.</w:t>
            </w:r>
          </w:p>
        </w:tc>
      </w:tr>
      <w:tr w:rsidR="00855E5B" w:rsidRPr="005420A9" w:rsidTr="00984BE6">
        <w:trPr>
          <w:trHeight w:val="454"/>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48"/>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Ovplyvňuje návrh dopyt po práci?</w:t>
            </w:r>
            <w:r w:rsidRPr="005420A9">
              <w:rPr>
                <w:rFonts w:eastAsia="Calibri"/>
                <w:sz w:val="20"/>
                <w:szCs w:val="20"/>
              </w:rPr>
              <w:t xml:space="preserve"> </w:t>
            </w:r>
            <w:r w:rsidRPr="005420A9">
              <w:rPr>
                <w:rFonts w:eastAsia="Calibri"/>
                <w:i/>
                <w:sz w:val="20"/>
                <w:szCs w:val="20"/>
              </w:rPr>
              <w:t>Ak áno, ako?</w:t>
            </w:r>
          </w:p>
        </w:tc>
      </w:tr>
      <w:tr w:rsidR="00855E5B" w:rsidRPr="005420A9" w:rsidTr="00984BE6">
        <w:trPr>
          <w:trHeight w:val="209"/>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08"/>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Má návrh dosah na fungovanie trhu práce?</w:t>
            </w:r>
            <w:r w:rsidRPr="005420A9">
              <w:rPr>
                <w:rFonts w:eastAsia="Calibri"/>
                <w:sz w:val="20"/>
                <w:szCs w:val="20"/>
              </w:rPr>
              <w:t xml:space="preserve"> </w:t>
            </w:r>
            <w:r w:rsidRPr="005420A9">
              <w:rPr>
                <w:rFonts w:eastAsia="Calibri"/>
                <w:i/>
                <w:sz w:val="20"/>
                <w:szCs w:val="20"/>
              </w:rPr>
              <w:t>Ak áno, aký?</w:t>
            </w:r>
          </w:p>
        </w:tc>
      </w:tr>
      <w:tr w:rsidR="00855E5B" w:rsidRPr="005420A9" w:rsidTr="00984BE6">
        <w:trPr>
          <w:trHeight w:val="794"/>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Týka sa makroekonomických dosahov ako je napr. participácia na trhu práce, dlhodobá nezamestnanosť, regionálne rozdiely v mierach zamestnanosti.</w:t>
            </w:r>
            <w:r w:rsidRPr="005420A9">
              <w:rPr>
                <w:rFonts w:eastAsia="Calibri"/>
                <w:sz w:val="18"/>
                <w:szCs w:val="18"/>
              </w:rPr>
              <w:t xml:space="preserve"> </w:t>
            </w:r>
            <w:r w:rsidRPr="005420A9">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324"/>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Má návrh špecifické negatívne dôsledky pre isté skupiny profesií, skupín zamestnancov či živnostníkov?</w:t>
            </w:r>
            <w:r w:rsidRPr="005420A9">
              <w:rPr>
                <w:rFonts w:eastAsia="Calibri"/>
                <w:sz w:val="20"/>
                <w:szCs w:val="20"/>
              </w:rPr>
              <w:t xml:space="preserve"> </w:t>
            </w:r>
            <w:r w:rsidRPr="005420A9">
              <w:rPr>
                <w:rFonts w:eastAsia="Calibri"/>
                <w:i/>
                <w:sz w:val="20"/>
                <w:szCs w:val="20"/>
              </w:rPr>
              <w:t>Ak áno, aké a pre ktoré skupiny?</w:t>
            </w:r>
          </w:p>
        </w:tc>
      </w:tr>
      <w:tr w:rsidR="00855E5B" w:rsidRPr="005420A9" w:rsidTr="00984BE6">
        <w:trPr>
          <w:trHeight w:val="216"/>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r w:rsidR="00855E5B" w:rsidRPr="005420A9" w:rsidTr="00984BE6">
        <w:trPr>
          <w:trHeight w:val="219"/>
          <w:jc w:val="center"/>
        </w:trPr>
        <w:tc>
          <w:tcPr>
            <w:tcW w:w="5000" w:type="pct"/>
            <w:gridSpan w:val="2"/>
            <w:tcBorders>
              <w:bottom w:val="single" w:sz="4" w:space="0" w:color="auto"/>
            </w:tcBorders>
            <w:shd w:val="clear" w:color="auto" w:fill="F2F2F2"/>
          </w:tcPr>
          <w:p w:rsidR="00855E5B" w:rsidRPr="005420A9" w:rsidRDefault="00855E5B" w:rsidP="00984BE6">
            <w:pPr>
              <w:rPr>
                <w:rFonts w:eastAsia="Calibri"/>
                <w:sz w:val="20"/>
                <w:szCs w:val="20"/>
              </w:rPr>
            </w:pPr>
            <w:r w:rsidRPr="005420A9">
              <w:rPr>
                <w:rFonts w:eastAsia="Calibri"/>
                <w:i/>
                <w:sz w:val="20"/>
                <w:szCs w:val="20"/>
              </w:rPr>
              <w:t>Ovplyvňuje návrh špecifické vekové skupiny zamestnancov? Ak áno, aké? Akým spôsobom?</w:t>
            </w:r>
          </w:p>
        </w:tc>
      </w:tr>
      <w:tr w:rsidR="00855E5B" w:rsidRPr="005420A9" w:rsidTr="00984BE6">
        <w:trPr>
          <w:trHeight w:val="497"/>
          <w:jc w:val="center"/>
        </w:trPr>
        <w:tc>
          <w:tcPr>
            <w:tcW w:w="1993" w:type="pct"/>
            <w:tcBorders>
              <w:bottom w:val="single" w:sz="4" w:space="0" w:color="auto"/>
            </w:tcBorders>
            <w:shd w:val="clear" w:color="auto" w:fill="FFFFFF"/>
          </w:tcPr>
          <w:p w:rsidR="00855E5B" w:rsidRPr="005420A9" w:rsidRDefault="00855E5B" w:rsidP="00984BE6">
            <w:pPr>
              <w:rPr>
                <w:rFonts w:eastAsia="Calibri"/>
                <w:i/>
                <w:sz w:val="18"/>
                <w:szCs w:val="18"/>
              </w:rPr>
            </w:pPr>
            <w:r w:rsidRPr="005420A9">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855E5B" w:rsidRPr="005420A9" w:rsidRDefault="00855E5B" w:rsidP="00984BE6">
            <w:pPr>
              <w:rPr>
                <w:rFonts w:eastAsia="Calibri"/>
                <w:sz w:val="20"/>
                <w:szCs w:val="18"/>
              </w:rPr>
            </w:pPr>
          </w:p>
        </w:tc>
      </w:tr>
    </w:tbl>
    <w:p w:rsidR="00327746" w:rsidRPr="005420A9" w:rsidRDefault="00327746"/>
    <w:sectPr w:rsidR="00327746" w:rsidRPr="00542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56" w:rsidRDefault="005420A9">
      <w:r>
        <w:separator/>
      </w:r>
    </w:p>
  </w:endnote>
  <w:endnote w:type="continuationSeparator" w:id="0">
    <w:p w:rsidR="00E81656" w:rsidRDefault="0054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1D6749" w:rsidRDefault="005F442F">
    <w:pPr>
      <w:pStyle w:val="Pta"/>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1D6749" w:rsidRDefault="005F442F">
    <w:pPr>
      <w:pStyle w:val="Pta"/>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56" w:rsidRDefault="005420A9">
      <w:r>
        <w:separator/>
      </w:r>
    </w:p>
  </w:footnote>
  <w:footnote w:type="continuationSeparator" w:id="0">
    <w:p w:rsidR="00E81656" w:rsidRDefault="0054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CD4982" w:rsidRDefault="005F442F" w:rsidP="00992440">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7F5" w:rsidRPr="00AF67AF" w:rsidRDefault="005F442F" w:rsidP="0099244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5B"/>
    <w:rsid w:val="00327746"/>
    <w:rsid w:val="003820BC"/>
    <w:rsid w:val="005420A9"/>
    <w:rsid w:val="005F442F"/>
    <w:rsid w:val="00855E5B"/>
    <w:rsid w:val="00E816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E5B"/>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55E5B"/>
    <w:rPr>
      <w:rFonts w:asciiTheme="minorHAnsi" w:hAnsiTheme="minorHAnsi" w:cstheme="minorBidi"/>
      <w:sz w:val="22"/>
      <w:szCs w:val="22"/>
    </w:rPr>
  </w:style>
  <w:style w:type="paragraph" w:styleId="Pta">
    <w:name w:val="footer"/>
    <w:basedOn w:val="Normlny"/>
    <w:link w:val="Pt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55E5B"/>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5E5B"/>
    <w:pPr>
      <w:spacing w:after="0" w:line="240" w:lineRule="auto"/>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855E5B"/>
    <w:rPr>
      <w:rFonts w:asciiTheme="minorHAnsi" w:hAnsiTheme="minorHAnsi" w:cstheme="minorBidi"/>
      <w:sz w:val="22"/>
      <w:szCs w:val="22"/>
    </w:rPr>
  </w:style>
  <w:style w:type="paragraph" w:styleId="Pta">
    <w:name w:val="footer"/>
    <w:basedOn w:val="Normlny"/>
    <w:link w:val="PtaChar"/>
    <w:uiPriority w:val="99"/>
    <w:unhideWhenUsed/>
    <w:rsid w:val="00855E5B"/>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55E5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9881</Characters>
  <Application>Microsoft Office Word</Application>
  <DocSecurity>4</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revision>2</cp:revision>
  <dcterms:created xsi:type="dcterms:W3CDTF">2018-02-06T06:57:00Z</dcterms:created>
  <dcterms:modified xsi:type="dcterms:W3CDTF">2018-02-06T06:57:00Z</dcterms:modified>
</cp:coreProperties>
</file>