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riekatabuky"/>
        <w:tblW w:w="0" w:type="auto"/>
        <w:tblLook w:val="04A0" w:firstRow="1" w:lastRow="0" w:firstColumn="1" w:lastColumn="0" w:noHBand="0" w:noVBand="1"/>
      </w:tblPr>
      <w:tblGrid>
        <w:gridCol w:w="9212"/>
      </w:tblGrid>
      <w:tr w:rsidR="007E6051" w:rsidRPr="00346A9B" w:rsidTr="00984BE6">
        <w:trPr>
          <w:trHeight w:val="567"/>
        </w:trPr>
        <w:tc>
          <w:tcPr>
            <w:tcW w:w="9212" w:type="dxa"/>
            <w:shd w:val="clear" w:color="auto" w:fill="D9D9D9" w:themeFill="background1" w:themeFillShade="D9"/>
          </w:tcPr>
          <w:p w:rsidR="007E6051" w:rsidRPr="00346A9B" w:rsidRDefault="007E6051" w:rsidP="00984BE6">
            <w:pPr>
              <w:jc w:val="center"/>
              <w:rPr>
                <w:rFonts w:ascii="Times New Roman" w:hAnsi="Times New Roman" w:cs="Times New Roman"/>
                <w:b/>
              </w:rPr>
            </w:pPr>
            <w:r w:rsidRPr="00346A9B">
              <w:rPr>
                <w:rFonts w:ascii="Times New Roman" w:hAnsi="Times New Roman" w:cs="Times New Roman"/>
                <w:b/>
                <w:sz w:val="28"/>
              </w:rPr>
              <w:t xml:space="preserve">Analýza vplyvov na podnikateľské prostredie </w:t>
            </w:r>
          </w:p>
          <w:p w:rsidR="007E6051" w:rsidRPr="00346A9B" w:rsidRDefault="007E6051" w:rsidP="00984BE6">
            <w:pPr>
              <w:jc w:val="center"/>
              <w:rPr>
                <w:rFonts w:ascii="Times New Roman" w:hAnsi="Times New Roman" w:cs="Times New Roman"/>
                <w:b/>
              </w:rPr>
            </w:pPr>
            <w:r w:rsidRPr="00346A9B">
              <w:rPr>
                <w:rFonts w:ascii="Times New Roman" w:hAnsi="Times New Roman" w:cs="Times New Roman"/>
                <w:b/>
              </w:rPr>
              <w:t>(vrátane testu MSP)</w:t>
            </w:r>
          </w:p>
        </w:tc>
      </w:tr>
      <w:tr w:rsidR="007E6051" w:rsidRPr="00346A9B" w:rsidTr="00984BE6">
        <w:trPr>
          <w:trHeight w:val="567"/>
        </w:trPr>
        <w:tc>
          <w:tcPr>
            <w:tcW w:w="9212" w:type="dxa"/>
            <w:shd w:val="clear" w:color="auto" w:fill="D9D9D9" w:themeFill="background1" w:themeFillShade="D9"/>
          </w:tcPr>
          <w:p w:rsidR="007E6051" w:rsidRPr="00346A9B" w:rsidRDefault="007E6051" w:rsidP="00984BE6">
            <w:pPr>
              <w:rPr>
                <w:rFonts w:ascii="Times New Roman" w:hAnsi="Times New Roman" w:cs="Times New Roman"/>
                <w:b/>
              </w:rPr>
            </w:pPr>
            <w:r w:rsidRPr="00346A9B">
              <w:rPr>
                <w:rFonts w:ascii="Times New Roman" w:hAnsi="Times New Roman" w:cs="Times New Roman"/>
                <w:b/>
              </w:rPr>
              <w:t>Materiál bude mať vplyv s ohľadom na veľkostnú kategóriu podnikov:</w:t>
            </w:r>
          </w:p>
        </w:tc>
      </w:tr>
      <w:tr w:rsidR="007E6051" w:rsidRPr="00346A9B" w:rsidTr="00984BE6">
        <w:trPr>
          <w:trHeight w:val="567"/>
        </w:trPr>
        <w:tc>
          <w:tcPr>
            <w:tcW w:w="9212" w:type="dxa"/>
            <w:shd w:val="clear" w:color="auto" w:fill="auto"/>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545"/>
            </w:tblGrid>
            <w:tr w:rsidR="007E6051" w:rsidRPr="00346A9B" w:rsidTr="00984BE6">
              <w:sdt>
                <w:sdtPr>
                  <w:id w:val="43339831"/>
                  <w14:checkbox>
                    <w14:checked w14:val="0"/>
                    <w14:checkedState w14:val="2612" w14:font="MS Gothic"/>
                    <w14:uncheckedState w14:val="2610" w14:font="MS Gothic"/>
                  </w14:checkbox>
                </w:sdtPr>
                <w:sdtEndPr/>
                <w:sdtContent>
                  <w:tc>
                    <w:tcPr>
                      <w:tcW w:w="436" w:type="dxa"/>
                    </w:tcPr>
                    <w:p w:rsidR="007E6051" w:rsidRPr="00346A9B" w:rsidRDefault="007E6051" w:rsidP="00984BE6">
                      <w:pPr>
                        <w:jc w:val="center"/>
                        <w:rPr>
                          <w:rFonts w:ascii="Times New Roman" w:hAnsi="Times New Roman" w:cs="Times New Roman"/>
                        </w:rPr>
                      </w:pPr>
                      <w:r w:rsidRPr="00346A9B">
                        <w:rPr>
                          <w:rFonts w:ascii="MS Mincho" w:eastAsia="MS Mincho" w:hAnsi="MS Mincho" w:cs="MS Mincho" w:hint="eastAsia"/>
                        </w:rPr>
                        <w:t>☐</w:t>
                      </w:r>
                    </w:p>
                  </w:tc>
                </w:sdtContent>
              </w:sdt>
              <w:tc>
                <w:tcPr>
                  <w:tcW w:w="8545" w:type="dxa"/>
                </w:tcPr>
                <w:p w:rsidR="007E6051" w:rsidRPr="00346A9B" w:rsidRDefault="007E6051" w:rsidP="00984BE6">
                  <w:pPr>
                    <w:rPr>
                      <w:rFonts w:ascii="Times New Roman" w:hAnsi="Times New Roman" w:cs="Times New Roman"/>
                      <w:b/>
                    </w:rPr>
                  </w:pPr>
                  <w:r w:rsidRPr="00346A9B">
                    <w:rPr>
                      <w:rFonts w:ascii="Times New Roman" w:hAnsi="Times New Roman" w:cs="Times New Roman"/>
                      <w:b/>
                    </w:rPr>
                    <w:t xml:space="preserve">iba na MSP (0 - 249 zamestnancov) </w:t>
                  </w:r>
                </w:p>
              </w:tc>
            </w:tr>
            <w:tr w:rsidR="007E6051" w:rsidRPr="00346A9B" w:rsidTr="00984BE6">
              <w:sdt>
                <w:sdtPr>
                  <w:id w:val="-79453833"/>
                  <w14:checkbox>
                    <w14:checked w14:val="0"/>
                    <w14:checkedState w14:val="2612" w14:font="MS Gothic"/>
                    <w14:uncheckedState w14:val="2610" w14:font="MS Gothic"/>
                  </w14:checkbox>
                </w:sdtPr>
                <w:sdtEndPr/>
                <w:sdtContent>
                  <w:tc>
                    <w:tcPr>
                      <w:tcW w:w="436" w:type="dxa"/>
                    </w:tcPr>
                    <w:p w:rsidR="007E6051" w:rsidRPr="00346A9B" w:rsidRDefault="007E6051" w:rsidP="00984BE6">
                      <w:pPr>
                        <w:jc w:val="center"/>
                        <w:rPr>
                          <w:rFonts w:ascii="Times New Roman" w:hAnsi="Times New Roman" w:cs="Times New Roman"/>
                        </w:rPr>
                      </w:pPr>
                      <w:r w:rsidRPr="00346A9B">
                        <w:rPr>
                          <w:rFonts w:ascii="MS Mincho" w:eastAsia="MS Mincho" w:hAnsi="MS Mincho" w:cs="MS Mincho" w:hint="eastAsia"/>
                        </w:rPr>
                        <w:t>☐</w:t>
                      </w:r>
                    </w:p>
                  </w:tc>
                </w:sdtContent>
              </w:sdt>
              <w:tc>
                <w:tcPr>
                  <w:tcW w:w="8545" w:type="dxa"/>
                </w:tcPr>
                <w:p w:rsidR="007E6051" w:rsidRPr="00346A9B" w:rsidRDefault="007E6051" w:rsidP="00984BE6">
                  <w:pPr>
                    <w:rPr>
                      <w:rFonts w:ascii="Times New Roman" w:hAnsi="Times New Roman" w:cs="Times New Roman"/>
                      <w:b/>
                    </w:rPr>
                  </w:pPr>
                  <w:r w:rsidRPr="00346A9B">
                    <w:rPr>
                      <w:rFonts w:ascii="Times New Roman" w:hAnsi="Times New Roman" w:cs="Times New Roman"/>
                      <w:b/>
                    </w:rPr>
                    <w:t>iba na veľké podniky (250 a viac zamestnancov)</w:t>
                  </w:r>
                </w:p>
              </w:tc>
            </w:tr>
            <w:tr w:rsidR="007E6051" w:rsidRPr="00346A9B" w:rsidTr="00984BE6">
              <w:sdt>
                <w:sdtPr>
                  <w:id w:val="1290634502"/>
                  <w14:checkbox>
                    <w14:checked w14:val="1"/>
                    <w14:checkedState w14:val="2612" w14:font="MS Gothic"/>
                    <w14:uncheckedState w14:val="2610" w14:font="MS Gothic"/>
                  </w14:checkbox>
                </w:sdtPr>
                <w:sdtEndPr/>
                <w:sdtContent>
                  <w:tc>
                    <w:tcPr>
                      <w:tcW w:w="436" w:type="dxa"/>
                    </w:tcPr>
                    <w:p w:rsidR="007E6051" w:rsidRPr="00346A9B" w:rsidRDefault="007E6051" w:rsidP="00984BE6">
                      <w:pPr>
                        <w:jc w:val="center"/>
                        <w:rPr>
                          <w:rFonts w:ascii="Times New Roman" w:hAnsi="Times New Roman" w:cs="Times New Roman"/>
                        </w:rPr>
                      </w:pPr>
                      <w:r w:rsidRPr="00346A9B">
                        <w:rPr>
                          <w:rFonts w:ascii="MS Mincho" w:eastAsia="MS Mincho" w:hAnsi="MS Mincho" w:cs="MS Mincho" w:hint="eastAsia"/>
                        </w:rPr>
                        <w:t>☒</w:t>
                      </w:r>
                    </w:p>
                  </w:tc>
                </w:sdtContent>
              </w:sdt>
              <w:tc>
                <w:tcPr>
                  <w:tcW w:w="8545" w:type="dxa"/>
                </w:tcPr>
                <w:p w:rsidR="007E6051" w:rsidRPr="00346A9B" w:rsidRDefault="007E6051" w:rsidP="00984BE6">
                  <w:pPr>
                    <w:rPr>
                      <w:rFonts w:ascii="Times New Roman" w:hAnsi="Times New Roman" w:cs="Times New Roman"/>
                    </w:rPr>
                  </w:pPr>
                  <w:r w:rsidRPr="00346A9B">
                    <w:rPr>
                      <w:rFonts w:ascii="Times New Roman" w:hAnsi="Times New Roman" w:cs="Times New Roman"/>
                      <w:b/>
                    </w:rPr>
                    <w:t>na všetky kategórie podnikov</w:t>
                  </w:r>
                </w:p>
              </w:tc>
            </w:tr>
          </w:tbl>
          <w:p w:rsidR="007E6051" w:rsidRPr="00346A9B" w:rsidRDefault="007E6051" w:rsidP="00984BE6">
            <w:pPr>
              <w:rPr>
                <w:rFonts w:ascii="Times New Roman" w:hAnsi="Times New Roman" w:cs="Times New Roman"/>
                <w:b/>
              </w:rPr>
            </w:pPr>
          </w:p>
        </w:tc>
      </w:tr>
      <w:tr w:rsidR="007E6051" w:rsidRPr="00346A9B" w:rsidTr="00984BE6">
        <w:tc>
          <w:tcPr>
            <w:tcW w:w="9212" w:type="dxa"/>
            <w:shd w:val="clear" w:color="auto" w:fill="D9D9D9" w:themeFill="background1" w:themeFillShade="D9"/>
          </w:tcPr>
          <w:p w:rsidR="007E6051" w:rsidRPr="00346A9B" w:rsidRDefault="007E6051" w:rsidP="00984BE6">
            <w:pPr>
              <w:rPr>
                <w:rFonts w:ascii="Times New Roman" w:hAnsi="Times New Roman" w:cs="Times New Roman"/>
                <w:b/>
              </w:rPr>
            </w:pPr>
            <w:r w:rsidRPr="00346A9B">
              <w:rPr>
                <w:rFonts w:ascii="Times New Roman" w:hAnsi="Times New Roman" w:cs="Times New Roman"/>
                <w:b/>
              </w:rPr>
              <w:t>3.1 Dotknuté podnikateľské subjekty</w:t>
            </w:r>
          </w:p>
          <w:p w:rsidR="007E6051" w:rsidRPr="00346A9B" w:rsidRDefault="007E6051" w:rsidP="00984BE6">
            <w:pPr>
              <w:ind w:left="284"/>
              <w:rPr>
                <w:rFonts w:ascii="Times New Roman" w:hAnsi="Times New Roman" w:cs="Times New Roman"/>
                <w:b/>
              </w:rPr>
            </w:pPr>
            <w:r w:rsidRPr="00346A9B">
              <w:rPr>
                <w:rFonts w:ascii="Times New Roman" w:hAnsi="Times New Roman" w:cs="Times New Roman"/>
              </w:rPr>
              <w:t xml:space="preserve"> - </w:t>
            </w:r>
            <w:r w:rsidRPr="00346A9B">
              <w:rPr>
                <w:rFonts w:ascii="Times New Roman" w:hAnsi="Times New Roman" w:cs="Times New Roman"/>
                <w:b/>
              </w:rPr>
              <w:t>z toho MSP</w:t>
            </w:r>
          </w:p>
        </w:tc>
      </w:tr>
      <w:tr w:rsidR="007E6051" w:rsidRPr="00346A9B" w:rsidTr="00984BE6">
        <w:tc>
          <w:tcPr>
            <w:tcW w:w="9212" w:type="dxa"/>
            <w:tcBorders>
              <w:bottom w:val="single" w:sz="4" w:space="0" w:color="auto"/>
            </w:tcBorders>
          </w:tcPr>
          <w:p w:rsidR="007E6051" w:rsidRPr="00346A9B" w:rsidRDefault="007E6051" w:rsidP="00984BE6">
            <w:pPr>
              <w:rPr>
                <w:rFonts w:ascii="Times New Roman" w:hAnsi="Times New Roman" w:cs="Times New Roman"/>
                <w:i/>
              </w:rPr>
            </w:pPr>
            <w:r w:rsidRPr="00346A9B">
              <w:rPr>
                <w:rFonts w:ascii="Times New Roman" w:hAnsi="Times New Roman" w:cs="Times New Roman"/>
                <w:i/>
              </w:rPr>
              <w:t>Uveďte, aké podnikateľské subjekty budú predkladaným návrhom ovplyvnené.</w:t>
            </w:r>
          </w:p>
          <w:p w:rsidR="007E6051" w:rsidRPr="00346A9B" w:rsidRDefault="007E6051" w:rsidP="00984BE6">
            <w:pPr>
              <w:rPr>
                <w:rFonts w:ascii="Times New Roman" w:hAnsi="Times New Roman" w:cs="Times New Roman"/>
                <w:i/>
              </w:rPr>
            </w:pPr>
            <w:r w:rsidRPr="00346A9B">
              <w:rPr>
                <w:rFonts w:ascii="Times New Roman" w:hAnsi="Times New Roman" w:cs="Times New Roman"/>
                <w:i/>
              </w:rPr>
              <w:t>Aký je ich počet?</w:t>
            </w:r>
          </w:p>
        </w:tc>
      </w:tr>
      <w:tr w:rsidR="007E6051" w:rsidRPr="00346A9B" w:rsidTr="00984BE6">
        <w:trPr>
          <w:trHeight w:val="1440"/>
        </w:trPr>
        <w:tc>
          <w:tcPr>
            <w:tcW w:w="9212" w:type="dxa"/>
            <w:tcBorders>
              <w:bottom w:val="single" w:sz="4" w:space="0" w:color="auto"/>
            </w:tcBorders>
          </w:tcPr>
          <w:p w:rsidR="007E6051" w:rsidRPr="00346A9B" w:rsidRDefault="007E6051" w:rsidP="00984BE6">
            <w:pPr>
              <w:jc w:val="both"/>
              <w:rPr>
                <w:rFonts w:ascii="Times New Roman" w:hAnsi="Times New Roman" w:cs="Times New Roman"/>
              </w:rPr>
            </w:pPr>
            <w:r w:rsidRPr="00346A9B">
              <w:rPr>
                <w:rFonts w:ascii="Times New Roman" w:hAnsi="Times New Roman" w:cs="Times New Roman"/>
              </w:rPr>
              <w:t xml:space="preserve">Navrhovaná úprava sa dotkne najmä subjektov podnikajúcich v oblasti cestovného ruchu (obchodných spoločností, samostatne zárobkovo činných osôb alebo iných subjektov), ktorí budú vykonávať svoje činnosti na základe živnostenského oprávnenia na prevádzkovanie cestovných kancelárií alebo cestovných agentúr. V zmysle platnej legislatívny sa to ale nedotkne iba aktuálne podnikajúcich cestovných kancelárií a cestovných agentúr, ale aj iných subjektov (prepravných spoločností, ubytovacích zariadení, </w:t>
            </w:r>
            <w:proofErr w:type="spellStart"/>
            <w:r w:rsidRPr="00346A9B">
              <w:rPr>
                <w:rFonts w:ascii="Times New Roman" w:hAnsi="Times New Roman" w:cs="Times New Roman"/>
              </w:rPr>
              <w:t>eventových</w:t>
            </w:r>
            <w:proofErr w:type="spellEnd"/>
            <w:r w:rsidRPr="00346A9B">
              <w:rPr>
                <w:rFonts w:ascii="Times New Roman" w:hAnsi="Times New Roman" w:cs="Times New Roman"/>
              </w:rPr>
              <w:t xml:space="preserve"> agentúr a podobne) v prípade, ak budú mať záujem ponúkať, kombinovať alebo predávať za zákonom stanovených podmienok služby</w:t>
            </w:r>
            <w:r w:rsidR="000F202F">
              <w:rPr>
                <w:rFonts w:ascii="Times New Roman" w:hAnsi="Times New Roman" w:cs="Times New Roman"/>
              </w:rPr>
              <w:t xml:space="preserve"> cestovného ruchu</w:t>
            </w:r>
            <w:r w:rsidRPr="00346A9B">
              <w:rPr>
                <w:rFonts w:ascii="Times New Roman" w:hAnsi="Times New Roman" w:cs="Times New Roman"/>
              </w:rPr>
              <w:t xml:space="preserve">, ktoré budú spĺňať kritériá na vznik zájazdu alebo spojených cestovných služieb. </w:t>
            </w:r>
          </w:p>
          <w:p w:rsidR="007E6051" w:rsidRPr="00346A9B" w:rsidRDefault="007E6051" w:rsidP="00984BE6">
            <w:pPr>
              <w:jc w:val="both"/>
              <w:rPr>
                <w:rFonts w:ascii="Times New Roman" w:hAnsi="Times New Roman" w:cs="Times New Roman"/>
              </w:rPr>
            </w:pPr>
          </w:p>
          <w:p w:rsidR="007E6051" w:rsidRPr="00346A9B" w:rsidRDefault="007E6051" w:rsidP="00984BE6">
            <w:pPr>
              <w:jc w:val="both"/>
              <w:rPr>
                <w:rFonts w:ascii="Times New Roman" w:hAnsi="Times New Roman" w:cs="Times New Roman"/>
              </w:rPr>
            </w:pPr>
            <w:r w:rsidRPr="00346A9B">
              <w:rPr>
                <w:rFonts w:ascii="Times New Roman" w:hAnsi="Times New Roman" w:cs="Times New Roman"/>
              </w:rPr>
              <w:t>Ďalej budú ovplyvnené vo vzťahu k poskytovaniu ochrany pre prípad úpadku cestovných kancelárií aj subjekty podnikajúce v oblasti finančného trhu, konkrétne poisťovne, pobočky zahraničnej poisťovne z iného ako členského štátu EÚ, pričom na základe cezhraničného poskytovania služieb je oprávnená poskytovať poisťovacie služby na území Slovenskej republiky aj poisťovňa z členského štátu EÚ, a to prostredníctvom pobočky alebo na základe práva slobodného poskytovania služieb bez zriadenia pobočky a banky, pobočky zahraničnej banky z iného ako členského štátu EÚ, pričom na základe cezhraničného poskytovania služieb je oprávnená poskytovať služby na území Slovenskej republiky aj banka z členského štátu EÚ, a to prostredníctvom pobočky alebo na základe práva slobodného poskytovania služieb bez zriadenia pobočky.</w:t>
            </w:r>
          </w:p>
          <w:p w:rsidR="007E6051" w:rsidRPr="00346A9B" w:rsidRDefault="007E6051" w:rsidP="00984BE6">
            <w:pPr>
              <w:jc w:val="both"/>
              <w:rPr>
                <w:rFonts w:ascii="Times New Roman" w:hAnsi="Times New Roman" w:cs="Times New Roman"/>
              </w:rPr>
            </w:pPr>
          </w:p>
          <w:p w:rsidR="007E6051" w:rsidRPr="00346A9B" w:rsidRDefault="007E6051" w:rsidP="00984BE6">
            <w:pPr>
              <w:jc w:val="both"/>
              <w:rPr>
                <w:rFonts w:ascii="Times New Roman" w:hAnsi="Times New Roman" w:cs="Times New Roman"/>
              </w:rPr>
            </w:pPr>
            <w:r w:rsidRPr="00346A9B">
              <w:rPr>
                <w:rFonts w:ascii="Times New Roman" w:hAnsi="Times New Roman" w:cs="Times New Roman"/>
              </w:rPr>
              <w:t xml:space="preserve">Z údajov získaných zo Štatistického úradu Slovenskej republiky vyplýva, že v súčasnosti na slovenskom trhu pôsobí približne 400 subjektov podnikajúcich v oblasti cestovného ruchu a vykonávajúcich činnosti cestovných agentúr, rezervačné služby cestovných kancelárií a súvisiace činnosti, ktorých by sa predmetná úprava podľa návrhu zákona malo priama dotknúť. </w:t>
            </w:r>
          </w:p>
          <w:p w:rsidR="007E6051" w:rsidRPr="00346A9B" w:rsidRDefault="007E6051" w:rsidP="00984BE6">
            <w:pPr>
              <w:jc w:val="both"/>
              <w:rPr>
                <w:rFonts w:ascii="Times New Roman" w:hAnsi="Times New Roman" w:cs="Times New Roman"/>
              </w:rPr>
            </w:pPr>
          </w:p>
          <w:p w:rsidR="007E6051" w:rsidRPr="00346A9B" w:rsidRDefault="007E6051" w:rsidP="00984BE6">
            <w:pPr>
              <w:jc w:val="both"/>
              <w:rPr>
                <w:rFonts w:ascii="Times New Roman" w:hAnsi="Times New Roman" w:cs="Times New Roman"/>
                <w:i/>
              </w:rPr>
            </w:pPr>
            <w:r w:rsidRPr="00346A9B">
              <w:rPr>
                <w:rFonts w:ascii="Times New Roman" w:hAnsi="Times New Roman" w:cs="Times New Roman"/>
              </w:rPr>
              <w:t xml:space="preserve">Návrhom zákona sa do aplikačnej praxe zavádza úplne nový pojem spojených cestovných služieb, ktorý sa potenciálne nedotkne iba vyššie kvantifikovaných cestovných kancelárií alebo cestovných agentúr ale aj iných subjektov (napr. ubytovacích zariadení, prepravných spoločností, </w:t>
            </w:r>
            <w:proofErr w:type="spellStart"/>
            <w:r w:rsidRPr="00346A9B">
              <w:rPr>
                <w:rFonts w:ascii="Times New Roman" w:hAnsi="Times New Roman" w:cs="Times New Roman"/>
              </w:rPr>
              <w:t>eventových</w:t>
            </w:r>
            <w:proofErr w:type="spellEnd"/>
            <w:r w:rsidRPr="00346A9B">
              <w:rPr>
                <w:rFonts w:ascii="Times New Roman" w:hAnsi="Times New Roman" w:cs="Times New Roman"/>
              </w:rPr>
              <w:t xml:space="preserve"> agentúr a podobne), za predpokladu, že budú spĺňať podmienky ustanovené zákonom. Navyše sa návrhom zákona rozširuje okruh dotknutých subjektov, a to nielen na pôsobiacich priamo na Slovensku ale aj v cele Európskej únii. Keďže nie je možné odhadnúť, na koľko z vyššie uvedených subjektov sa táto regulácia bude v praxi vzťahovať, nie je možné počet subjektov ďalej kvantifikovať. </w:t>
            </w:r>
          </w:p>
        </w:tc>
      </w:tr>
      <w:tr w:rsidR="007E6051" w:rsidRPr="00346A9B" w:rsidTr="00984BE6">
        <w:trPr>
          <w:trHeight w:val="339"/>
        </w:trPr>
        <w:tc>
          <w:tcPr>
            <w:tcW w:w="9212" w:type="dxa"/>
            <w:tcBorders>
              <w:bottom w:val="single" w:sz="4" w:space="0" w:color="auto"/>
            </w:tcBorders>
            <w:shd w:val="clear" w:color="auto" w:fill="D9D9D9" w:themeFill="background1" w:themeFillShade="D9"/>
          </w:tcPr>
          <w:p w:rsidR="007E6051" w:rsidRPr="00346A9B" w:rsidRDefault="007E6051" w:rsidP="00984BE6">
            <w:pPr>
              <w:rPr>
                <w:rFonts w:ascii="Times New Roman" w:hAnsi="Times New Roman" w:cs="Times New Roman"/>
                <w:b/>
              </w:rPr>
            </w:pPr>
            <w:r w:rsidRPr="00346A9B">
              <w:rPr>
                <w:rFonts w:ascii="Times New Roman" w:hAnsi="Times New Roman" w:cs="Times New Roman"/>
                <w:b/>
              </w:rPr>
              <w:t>3.2 Vyhodnotenie konzultácií</w:t>
            </w:r>
          </w:p>
          <w:p w:rsidR="007E6051" w:rsidRPr="00346A9B" w:rsidRDefault="007E6051" w:rsidP="00984BE6">
            <w:pPr>
              <w:rPr>
                <w:rFonts w:ascii="Times New Roman" w:hAnsi="Times New Roman" w:cs="Times New Roman"/>
                <w:b/>
              </w:rPr>
            </w:pPr>
            <w:r w:rsidRPr="00346A9B">
              <w:rPr>
                <w:rFonts w:ascii="Times New Roman" w:hAnsi="Times New Roman" w:cs="Times New Roman"/>
              </w:rPr>
              <w:t xml:space="preserve">       - </w:t>
            </w:r>
            <w:r w:rsidRPr="00346A9B">
              <w:rPr>
                <w:rFonts w:ascii="Times New Roman" w:hAnsi="Times New Roman" w:cs="Times New Roman"/>
                <w:b/>
              </w:rPr>
              <w:t>z toho MSP</w:t>
            </w:r>
          </w:p>
        </w:tc>
      </w:tr>
      <w:tr w:rsidR="007E6051" w:rsidRPr="00346A9B" w:rsidTr="00984BE6">
        <w:trPr>
          <w:trHeight w:val="557"/>
        </w:trPr>
        <w:tc>
          <w:tcPr>
            <w:tcW w:w="9212" w:type="dxa"/>
            <w:tcBorders>
              <w:bottom w:val="single" w:sz="4" w:space="0" w:color="auto"/>
            </w:tcBorders>
          </w:tcPr>
          <w:p w:rsidR="007E6051" w:rsidRPr="00346A9B" w:rsidRDefault="007E6051" w:rsidP="00984BE6">
            <w:pPr>
              <w:rPr>
                <w:rFonts w:ascii="Times New Roman" w:hAnsi="Times New Roman" w:cs="Times New Roman"/>
                <w:i/>
              </w:rPr>
            </w:pPr>
            <w:r w:rsidRPr="00346A9B">
              <w:rPr>
                <w:rFonts w:ascii="Times New Roman" w:hAnsi="Times New Roman" w:cs="Times New Roman"/>
                <w:i/>
              </w:rPr>
              <w:t>Uveďte, akou formou (verejné alebo cielené konzultácie a prečo) a s kým bol návrh konzultovaný.</w:t>
            </w:r>
          </w:p>
          <w:p w:rsidR="007E6051" w:rsidRPr="00346A9B" w:rsidRDefault="007E6051" w:rsidP="00984BE6">
            <w:pPr>
              <w:rPr>
                <w:rFonts w:ascii="Times New Roman" w:hAnsi="Times New Roman" w:cs="Times New Roman"/>
                <w:i/>
              </w:rPr>
            </w:pPr>
            <w:r w:rsidRPr="00346A9B">
              <w:rPr>
                <w:rFonts w:ascii="Times New Roman" w:hAnsi="Times New Roman" w:cs="Times New Roman"/>
                <w:i/>
              </w:rPr>
              <w:t>Ako dlho trvali konzultácie?</w:t>
            </w:r>
          </w:p>
          <w:p w:rsidR="007E6051" w:rsidRPr="00346A9B" w:rsidRDefault="007E6051" w:rsidP="00984BE6">
            <w:pPr>
              <w:rPr>
                <w:rFonts w:ascii="Times New Roman" w:hAnsi="Times New Roman" w:cs="Times New Roman"/>
                <w:i/>
              </w:rPr>
            </w:pPr>
            <w:r w:rsidRPr="00346A9B">
              <w:rPr>
                <w:rFonts w:ascii="Times New Roman" w:hAnsi="Times New Roman" w:cs="Times New Roman"/>
                <w:i/>
              </w:rPr>
              <w:t xml:space="preserve">Uveďte hlavné body konzultácií a výsledky konzultácií. </w:t>
            </w:r>
          </w:p>
        </w:tc>
      </w:tr>
      <w:tr w:rsidR="007E6051" w:rsidRPr="00346A9B" w:rsidTr="00984BE6">
        <w:trPr>
          <w:trHeight w:val="1440"/>
        </w:trPr>
        <w:tc>
          <w:tcPr>
            <w:tcW w:w="9212" w:type="dxa"/>
            <w:tcBorders>
              <w:bottom w:val="single" w:sz="4" w:space="0" w:color="auto"/>
            </w:tcBorders>
          </w:tcPr>
          <w:p w:rsidR="007E6051" w:rsidRPr="00346A9B" w:rsidRDefault="007E6051" w:rsidP="00984BE6">
            <w:pPr>
              <w:jc w:val="both"/>
              <w:rPr>
                <w:rFonts w:ascii="Times New Roman" w:hAnsi="Times New Roman" w:cs="Times New Roman"/>
              </w:rPr>
            </w:pPr>
            <w:r w:rsidRPr="00346A9B">
              <w:rPr>
                <w:rFonts w:ascii="Times New Roman" w:hAnsi="Times New Roman" w:cs="Times New Roman"/>
              </w:rPr>
              <w:t>Od začiatku príprav boli do procesu zapojení stáli členovia pracovnej skupiny: Ministerstvo dopravy a výstavby Slovenskej republiky, Ministerstvo vnútra Slovenskej republiky, Ministerstvo spravodlivosti Slovenskej republiky, Slovenská obchodná inšpekcia, Slovenská asociácia cestovných kancelárií a cestovných agentúr, Slovenská asociácia poisťovní, zástupcovia akademickej obce.</w:t>
            </w:r>
          </w:p>
          <w:p w:rsidR="007E6051" w:rsidRPr="00346A9B" w:rsidRDefault="007E6051" w:rsidP="00984BE6">
            <w:pPr>
              <w:jc w:val="both"/>
              <w:rPr>
                <w:rFonts w:ascii="Times New Roman" w:hAnsi="Times New Roman" w:cs="Times New Roman"/>
              </w:rPr>
            </w:pPr>
          </w:p>
          <w:p w:rsidR="007E6051" w:rsidRPr="00346A9B" w:rsidRDefault="007E6051" w:rsidP="00984BE6">
            <w:pPr>
              <w:jc w:val="both"/>
              <w:rPr>
                <w:rFonts w:ascii="Times New Roman" w:hAnsi="Times New Roman" w:cs="Times New Roman"/>
              </w:rPr>
            </w:pPr>
            <w:r w:rsidRPr="00346A9B">
              <w:rPr>
                <w:rFonts w:ascii="Times New Roman" w:hAnsi="Times New Roman" w:cs="Times New Roman"/>
              </w:rPr>
              <w:t xml:space="preserve">Konalo sa niekoľko stretnutí stálych členov pracovnej skupiny, s ktorými boli priebežne konzultované všetky zmeny návrhu zákona. Stretnutia boli zvolané v mesiacoch jún, september 2017. </w:t>
            </w:r>
          </w:p>
          <w:p w:rsidR="007E6051" w:rsidRPr="00346A9B" w:rsidRDefault="007E6051" w:rsidP="00984BE6">
            <w:pPr>
              <w:jc w:val="both"/>
              <w:rPr>
                <w:rFonts w:ascii="Times New Roman" w:hAnsi="Times New Roman" w:cs="Times New Roman"/>
              </w:rPr>
            </w:pPr>
            <w:r w:rsidRPr="00346A9B">
              <w:rPr>
                <w:rFonts w:ascii="Times New Roman" w:hAnsi="Times New Roman" w:cs="Times New Roman"/>
              </w:rPr>
              <w:t>Dotknuté subjekty boli pozvané vopred s tým, že dostali k dispozícii pracovný dokument (návrh variant legislatívnych riešení). Počas konzultácii sa diskutovalo o jednotlivých variantoch, najmä o:</w:t>
            </w:r>
          </w:p>
          <w:p w:rsidR="007E6051" w:rsidRPr="00346A9B" w:rsidRDefault="007E6051" w:rsidP="007E6051">
            <w:pPr>
              <w:pStyle w:val="Odsekzoznamu"/>
              <w:numPr>
                <w:ilvl w:val="0"/>
                <w:numId w:val="2"/>
              </w:numPr>
              <w:ind w:left="284" w:hanging="284"/>
              <w:jc w:val="both"/>
              <w:rPr>
                <w:rFonts w:ascii="Times New Roman" w:hAnsi="Times New Roman" w:cs="Times New Roman"/>
                <w:sz w:val="24"/>
              </w:rPr>
            </w:pPr>
            <w:r w:rsidRPr="00346A9B">
              <w:rPr>
                <w:rFonts w:ascii="Times New Roman" w:hAnsi="Times New Roman" w:cs="Times New Roman"/>
                <w:sz w:val="24"/>
              </w:rPr>
              <w:t>podmienkach na prevádzkovanie cestovných kancelárií;</w:t>
            </w:r>
          </w:p>
          <w:p w:rsidR="007E6051" w:rsidRPr="00346A9B" w:rsidRDefault="007E6051" w:rsidP="007E6051">
            <w:pPr>
              <w:pStyle w:val="Odsekzoznamu"/>
              <w:numPr>
                <w:ilvl w:val="0"/>
                <w:numId w:val="2"/>
              </w:numPr>
              <w:ind w:left="284" w:hanging="284"/>
              <w:jc w:val="both"/>
              <w:rPr>
                <w:rFonts w:ascii="Times New Roman" w:hAnsi="Times New Roman" w:cs="Times New Roman"/>
                <w:sz w:val="24"/>
              </w:rPr>
            </w:pPr>
            <w:r w:rsidRPr="00346A9B">
              <w:rPr>
                <w:rFonts w:ascii="Times New Roman" w:hAnsi="Times New Roman" w:cs="Times New Roman"/>
                <w:sz w:val="24"/>
              </w:rPr>
              <w:lastRenderedPageBreak/>
              <w:t>zabezpečení ochrany pre prípad úpadku cestovných kancelárií, okrem iného aj o rôznych možnostiach zabezpečenia tejto ochrany, a to aj zvažovaním vytvorenia garančného fondu;</w:t>
            </w:r>
          </w:p>
          <w:p w:rsidR="007E6051" w:rsidRPr="00346A9B" w:rsidRDefault="007E6051" w:rsidP="007E6051">
            <w:pPr>
              <w:pStyle w:val="Odsekzoznamu"/>
              <w:numPr>
                <w:ilvl w:val="0"/>
                <w:numId w:val="2"/>
              </w:numPr>
              <w:ind w:left="284" w:hanging="284"/>
              <w:jc w:val="both"/>
              <w:rPr>
                <w:rFonts w:ascii="Times New Roman" w:hAnsi="Times New Roman" w:cs="Times New Roman"/>
                <w:sz w:val="24"/>
              </w:rPr>
            </w:pPr>
            <w:r w:rsidRPr="00346A9B">
              <w:rPr>
                <w:rFonts w:ascii="Times New Roman" w:hAnsi="Times New Roman" w:cs="Times New Roman"/>
                <w:sz w:val="24"/>
              </w:rPr>
              <w:t>navýšení hranice poistnej sumy alebo bankovej záruky z 25% na 30% ročných plánovaných tržieb z predaja zájazdov alebo spojených cestovných služieb;</w:t>
            </w:r>
          </w:p>
          <w:p w:rsidR="007E6051" w:rsidRPr="00346A9B" w:rsidRDefault="007E6051" w:rsidP="007E6051">
            <w:pPr>
              <w:pStyle w:val="Odsekzoznamu"/>
              <w:numPr>
                <w:ilvl w:val="0"/>
                <w:numId w:val="2"/>
              </w:numPr>
              <w:ind w:left="284" w:hanging="284"/>
              <w:jc w:val="both"/>
              <w:rPr>
                <w:rFonts w:ascii="Times New Roman" w:hAnsi="Times New Roman" w:cs="Times New Roman"/>
                <w:sz w:val="24"/>
              </w:rPr>
            </w:pPr>
            <w:r w:rsidRPr="00346A9B">
              <w:rPr>
                <w:rFonts w:ascii="Times New Roman" w:hAnsi="Times New Roman" w:cs="Times New Roman"/>
                <w:sz w:val="24"/>
              </w:rPr>
              <w:t>vedení zoznamu cestovných kancelárií a o rozsahu povinne zverejňovaných údajov;</w:t>
            </w:r>
          </w:p>
          <w:p w:rsidR="007E6051" w:rsidRPr="00346A9B" w:rsidRDefault="007E6051" w:rsidP="007E6051">
            <w:pPr>
              <w:pStyle w:val="Odsekzoznamu"/>
              <w:numPr>
                <w:ilvl w:val="0"/>
                <w:numId w:val="2"/>
              </w:numPr>
              <w:ind w:left="284" w:hanging="284"/>
              <w:jc w:val="both"/>
              <w:rPr>
                <w:rFonts w:ascii="Times New Roman" w:hAnsi="Times New Roman" w:cs="Times New Roman"/>
                <w:sz w:val="24"/>
              </w:rPr>
            </w:pPr>
            <w:r w:rsidRPr="00346A9B">
              <w:rPr>
                <w:rFonts w:ascii="Times New Roman" w:hAnsi="Times New Roman" w:cs="Times New Roman"/>
                <w:sz w:val="24"/>
              </w:rPr>
              <w:t>definícii a vysvetlení základných pojmov obsiahnutých v zákone,</w:t>
            </w:r>
          </w:p>
          <w:p w:rsidR="007E6051" w:rsidRPr="00346A9B" w:rsidRDefault="007E6051" w:rsidP="007E6051">
            <w:pPr>
              <w:pStyle w:val="Odsekzoznamu"/>
              <w:numPr>
                <w:ilvl w:val="0"/>
                <w:numId w:val="2"/>
              </w:numPr>
              <w:ind w:left="284" w:hanging="284"/>
              <w:jc w:val="both"/>
              <w:rPr>
                <w:rFonts w:ascii="Times New Roman" w:hAnsi="Times New Roman" w:cs="Times New Roman"/>
                <w:sz w:val="24"/>
              </w:rPr>
            </w:pPr>
            <w:r w:rsidRPr="00346A9B">
              <w:rPr>
                <w:rFonts w:ascii="Times New Roman" w:hAnsi="Times New Roman" w:cs="Times New Roman"/>
                <w:sz w:val="24"/>
              </w:rPr>
              <w:t>v vykonávaní dohľadu;</w:t>
            </w:r>
          </w:p>
          <w:p w:rsidR="007E6051" w:rsidRPr="00346A9B" w:rsidRDefault="007E6051" w:rsidP="007E6051">
            <w:pPr>
              <w:pStyle w:val="Odsekzoznamu"/>
              <w:numPr>
                <w:ilvl w:val="0"/>
                <w:numId w:val="2"/>
              </w:numPr>
              <w:ind w:left="284" w:hanging="284"/>
              <w:jc w:val="both"/>
              <w:rPr>
                <w:rFonts w:ascii="Times New Roman" w:hAnsi="Times New Roman" w:cs="Times New Roman"/>
                <w:sz w:val="24"/>
              </w:rPr>
            </w:pPr>
            <w:r w:rsidRPr="00346A9B">
              <w:rPr>
                <w:rFonts w:ascii="Times New Roman" w:hAnsi="Times New Roman" w:cs="Times New Roman"/>
                <w:sz w:val="24"/>
              </w:rPr>
              <w:t>objasnení aplikačnej praxe jednotlivých zúčastnených subjektov v danej oblasti.</w:t>
            </w:r>
          </w:p>
          <w:p w:rsidR="007E6051" w:rsidRPr="00346A9B" w:rsidRDefault="007E6051" w:rsidP="00984BE6">
            <w:pPr>
              <w:jc w:val="both"/>
              <w:rPr>
                <w:rFonts w:ascii="Times New Roman" w:hAnsi="Times New Roman" w:cs="Times New Roman"/>
              </w:rPr>
            </w:pPr>
            <w:r w:rsidRPr="00346A9B">
              <w:rPr>
                <w:rFonts w:ascii="Times New Roman" w:hAnsi="Times New Roman" w:cs="Times New Roman"/>
              </w:rPr>
              <w:t xml:space="preserve">Výsledok vypočutia bol zapracovaný do pracovného dokumentu, ktorý bol opätovne zaslaný na posúdenie. K pracovnému dokumentu niektoré subjekty zaslali písomné pripomienky, ktoré boli zohľadnené a následne im bolo odoslané vyhodnotenie daných pripomienok, ktoré boli buď zapracované alebo bolo náležite odôvodnené ich nezapracovanie do návrhu zákona. </w:t>
            </w:r>
          </w:p>
          <w:p w:rsidR="007E6051" w:rsidRPr="00346A9B" w:rsidRDefault="007E6051" w:rsidP="00984BE6">
            <w:pPr>
              <w:jc w:val="both"/>
              <w:rPr>
                <w:rFonts w:ascii="Times New Roman" w:hAnsi="Times New Roman" w:cs="Times New Roman"/>
              </w:rPr>
            </w:pPr>
            <w:r w:rsidRPr="00346A9B">
              <w:rPr>
                <w:rFonts w:ascii="Times New Roman" w:hAnsi="Times New Roman" w:cs="Times New Roman"/>
              </w:rPr>
              <w:t xml:space="preserve">Okrem vyššie uvedených subjektov boli uskutočnené aj užšie rokovania so zástupcami Národnej banky Slovenska, Ministerstva financií Slovenskej republiky a Slovenskej bankovej asociácie. S týmito subjektmi sa rokovalo o špecifických častiach návrhu zákona (najmä o zabezpečení ochrany pre prípad úpadku cestovných kancelárií), ktoré sa priamo týkali ich pôsobnosti a činnosti. Výsledkom bolo zapracovanie niektorých ich pripomienok do návrhu zákona. </w:t>
            </w:r>
          </w:p>
          <w:p w:rsidR="007E6051" w:rsidRPr="00346A9B" w:rsidRDefault="007E6051" w:rsidP="00984BE6">
            <w:pPr>
              <w:jc w:val="both"/>
              <w:rPr>
                <w:rFonts w:ascii="Times New Roman" w:hAnsi="Times New Roman" w:cs="Times New Roman"/>
              </w:rPr>
            </w:pPr>
          </w:p>
          <w:p w:rsidR="007E6051" w:rsidRPr="00346A9B" w:rsidRDefault="007E6051" w:rsidP="00984BE6">
            <w:pPr>
              <w:jc w:val="both"/>
              <w:rPr>
                <w:rFonts w:ascii="Times New Roman" w:hAnsi="Times New Roman" w:cs="Times New Roman"/>
              </w:rPr>
            </w:pPr>
            <w:r w:rsidRPr="00346A9B">
              <w:rPr>
                <w:rFonts w:ascii="Times New Roman" w:hAnsi="Times New Roman" w:cs="Times New Roman"/>
              </w:rPr>
              <w:t>V období 31.8.2017 do 29.9.2017 prebehli verejné konzultácie, v rámci ktorých sa svojím stanoviskom zapojil aj Klub 500 – neziskové občianske združenie slovenských vlastníkov a spoluvlastníkov spoločností zamestnávajúcich viac ako 500 zamestnancov. Tento subjekt mal záujem o vysvetlenie niektorých ustanovení návrhu zákona a plánovaného uplatňovania týchto ustanovení v aplikačnej praxi. Išlo najmä o definície pojmu zájazdy a spojené služby</w:t>
            </w:r>
            <w:r w:rsidR="000F202F">
              <w:rPr>
                <w:rFonts w:ascii="Times New Roman" w:hAnsi="Times New Roman" w:cs="Times New Roman"/>
              </w:rPr>
              <w:t xml:space="preserve"> cestovného ruchu</w:t>
            </w:r>
            <w:r w:rsidRPr="00346A9B">
              <w:rPr>
                <w:rFonts w:ascii="Times New Roman" w:hAnsi="Times New Roman" w:cs="Times New Roman"/>
              </w:rPr>
              <w:t xml:space="preserve"> a povinnosti aj iných subjektov, ako sú aktuálne podnikajúce cestovné kancelárie a cestovné agentúry (napr. ubytovacie zariadenia) získať živnostenské oprávnenie na prevádzkovanie cestovnej kancelárie alebo cestovnej agentúry a plniť príslušné povinnosti vyplývajúce im z návrhu zákona. Tomuto subjektu bolo následne zaslané vyjadrenie sa k danej problematike. </w:t>
            </w:r>
          </w:p>
          <w:p w:rsidR="007E6051" w:rsidRPr="00346A9B" w:rsidRDefault="007E6051" w:rsidP="00984BE6">
            <w:pPr>
              <w:rPr>
                <w:rFonts w:ascii="Times New Roman" w:hAnsi="Times New Roman" w:cs="Times New Roman"/>
                <w:i/>
              </w:rPr>
            </w:pPr>
          </w:p>
        </w:tc>
      </w:tr>
      <w:tr w:rsidR="007E6051" w:rsidRPr="00346A9B" w:rsidTr="00984BE6">
        <w:tc>
          <w:tcPr>
            <w:tcW w:w="9212" w:type="dxa"/>
            <w:shd w:val="clear" w:color="auto" w:fill="D9D9D9" w:themeFill="background1" w:themeFillShade="D9"/>
          </w:tcPr>
          <w:p w:rsidR="007E6051" w:rsidRPr="00346A9B" w:rsidRDefault="007E6051" w:rsidP="00984BE6">
            <w:pPr>
              <w:rPr>
                <w:rFonts w:ascii="Times New Roman" w:hAnsi="Times New Roman" w:cs="Times New Roman"/>
                <w:b/>
              </w:rPr>
            </w:pPr>
            <w:r w:rsidRPr="00346A9B">
              <w:rPr>
                <w:rFonts w:ascii="Times New Roman" w:hAnsi="Times New Roman" w:cs="Times New Roman"/>
                <w:b/>
              </w:rPr>
              <w:lastRenderedPageBreak/>
              <w:t>3.3 Náklady regulácie</w:t>
            </w:r>
          </w:p>
          <w:p w:rsidR="007E6051" w:rsidRPr="00346A9B" w:rsidRDefault="007E6051" w:rsidP="00984BE6">
            <w:pPr>
              <w:rPr>
                <w:rFonts w:ascii="Times New Roman" w:hAnsi="Times New Roman" w:cs="Times New Roman"/>
                <w:b/>
              </w:rPr>
            </w:pPr>
            <w:r w:rsidRPr="00346A9B">
              <w:rPr>
                <w:rFonts w:ascii="Times New Roman" w:hAnsi="Times New Roman" w:cs="Times New Roman"/>
              </w:rPr>
              <w:t xml:space="preserve">      - </w:t>
            </w:r>
            <w:r w:rsidRPr="00346A9B">
              <w:rPr>
                <w:rFonts w:ascii="Times New Roman" w:hAnsi="Times New Roman" w:cs="Times New Roman"/>
                <w:b/>
              </w:rPr>
              <w:t>z toho MSP</w:t>
            </w:r>
          </w:p>
        </w:tc>
      </w:tr>
      <w:tr w:rsidR="007E6051" w:rsidRPr="00346A9B" w:rsidTr="00984BE6">
        <w:tc>
          <w:tcPr>
            <w:tcW w:w="9212" w:type="dxa"/>
            <w:tcBorders>
              <w:bottom w:val="single" w:sz="4" w:space="0" w:color="auto"/>
            </w:tcBorders>
          </w:tcPr>
          <w:p w:rsidR="007E6051" w:rsidRPr="00346A9B" w:rsidRDefault="007E6051" w:rsidP="00984BE6">
            <w:pPr>
              <w:rPr>
                <w:rFonts w:ascii="Times New Roman" w:hAnsi="Times New Roman" w:cs="Times New Roman"/>
                <w:b/>
                <w:i/>
              </w:rPr>
            </w:pPr>
            <w:r w:rsidRPr="00346A9B">
              <w:rPr>
                <w:rFonts w:ascii="Times New Roman" w:hAnsi="Times New Roman" w:cs="Times New Roman"/>
                <w:b/>
                <w:i/>
              </w:rPr>
              <w:t>3.3.1 Priame finančné náklady</w:t>
            </w:r>
          </w:p>
          <w:p w:rsidR="007E6051" w:rsidRPr="00346A9B" w:rsidRDefault="007E6051" w:rsidP="00984BE6">
            <w:pPr>
              <w:rPr>
                <w:rFonts w:ascii="Times New Roman" w:hAnsi="Times New Roman" w:cs="Times New Roman"/>
                <w:i/>
              </w:rPr>
            </w:pPr>
            <w:r w:rsidRPr="00346A9B">
              <w:rPr>
                <w:rFonts w:ascii="Times New Roman" w:hAnsi="Times New Roman" w:cs="Times New Roman"/>
                <w:i/>
              </w:rPr>
              <w:t xml:space="preserve">Dochádza k zvýšeniu/zníženiu priamych finančných nákladov (poplatky, odvody, dane clá...)? Ak áno, popíšte a vyčíslite ich. Uveďte tiež spôsob ich výpočtu. </w:t>
            </w:r>
          </w:p>
        </w:tc>
      </w:tr>
      <w:tr w:rsidR="007E6051" w:rsidRPr="00346A9B" w:rsidTr="00984BE6">
        <w:tc>
          <w:tcPr>
            <w:tcW w:w="9212" w:type="dxa"/>
            <w:tcBorders>
              <w:bottom w:val="single" w:sz="4" w:space="0" w:color="auto"/>
            </w:tcBorders>
          </w:tcPr>
          <w:p w:rsidR="007E6051" w:rsidRPr="00346A9B" w:rsidRDefault="007E6051" w:rsidP="00984BE6">
            <w:pPr>
              <w:jc w:val="both"/>
              <w:rPr>
                <w:rFonts w:ascii="Times New Roman" w:hAnsi="Times New Roman" w:cs="Times New Roman"/>
              </w:rPr>
            </w:pPr>
            <w:r w:rsidRPr="00346A9B">
              <w:rPr>
                <w:rFonts w:ascii="Times New Roman" w:hAnsi="Times New Roman" w:cs="Times New Roman"/>
              </w:rPr>
              <w:t>Priamym finančným nákladom pre cestovné kancelárie je povinnosť každej z nich mať zabezpečenú ochranu pre prípad úpadku v podobe poistenia, alebo bankovej záruky po celý čas prevádzkovania cestovnej kancelárie, pričom poistná suma alebo banková záruka musí byť dohodnutá vo výške najmenej 30 % ročných plánovaných tržieb z predaja zájazdov a spojených cestovných služieb (ak budú tieto tržby nižšie ako v predchádzajúcom roku, cestovná kancelária je povinná dohodnúť poistnú sumu alebo bankovú záruku vo výške najmenej 30% tržieb z predaja zájazdov a sprostredkovania spojených cestovných služieb v predchádzajúcom roku).</w:t>
            </w:r>
          </w:p>
          <w:p w:rsidR="007E6051" w:rsidRPr="00346A9B" w:rsidRDefault="007E6051" w:rsidP="00984BE6">
            <w:pPr>
              <w:jc w:val="both"/>
              <w:rPr>
                <w:rFonts w:ascii="Times New Roman" w:hAnsi="Times New Roman" w:cs="Times New Roman"/>
                <w:b/>
                <w:i/>
              </w:rPr>
            </w:pPr>
          </w:p>
        </w:tc>
      </w:tr>
      <w:tr w:rsidR="007E6051" w:rsidRPr="00346A9B" w:rsidTr="00984BE6">
        <w:tc>
          <w:tcPr>
            <w:tcW w:w="9212" w:type="dxa"/>
            <w:tcBorders>
              <w:bottom w:val="single" w:sz="4" w:space="0" w:color="auto"/>
            </w:tcBorders>
          </w:tcPr>
          <w:p w:rsidR="007E6051" w:rsidRPr="00346A9B" w:rsidRDefault="007E6051" w:rsidP="00984BE6">
            <w:pPr>
              <w:rPr>
                <w:rFonts w:ascii="Times New Roman" w:hAnsi="Times New Roman" w:cs="Times New Roman"/>
                <w:b/>
                <w:i/>
              </w:rPr>
            </w:pPr>
            <w:r w:rsidRPr="00346A9B">
              <w:rPr>
                <w:rFonts w:ascii="Times New Roman" w:hAnsi="Times New Roman" w:cs="Times New Roman"/>
                <w:b/>
                <w:i/>
              </w:rPr>
              <w:t>3.3.2 Nepriame finančné náklady</w:t>
            </w:r>
          </w:p>
          <w:p w:rsidR="007E6051" w:rsidRPr="00346A9B" w:rsidRDefault="007E6051" w:rsidP="00984BE6">
            <w:pPr>
              <w:rPr>
                <w:rFonts w:ascii="Times New Roman" w:hAnsi="Times New Roman" w:cs="Times New Roman"/>
                <w:i/>
              </w:rPr>
            </w:pPr>
            <w:r w:rsidRPr="00346A9B">
              <w:rPr>
                <w:rFonts w:ascii="Times New Roman" w:hAnsi="Times New Roman" w:cs="Times New Roman"/>
                <w:i/>
              </w:rPr>
              <w:t>Vyžaduje si predkladaný návrh dodatočné náklady na nákup tovarov alebo služieb? Zvyšuje predkladaný návrh náklady súvisiace so zamestnávaním? Ak áno, popíšte a vyčíslite ich. Uveďte tiež spôsob ich výpočtu.</w:t>
            </w:r>
          </w:p>
        </w:tc>
      </w:tr>
      <w:tr w:rsidR="007E6051" w:rsidRPr="00346A9B" w:rsidTr="00984BE6">
        <w:tc>
          <w:tcPr>
            <w:tcW w:w="9212" w:type="dxa"/>
            <w:tcBorders>
              <w:bottom w:val="single" w:sz="4" w:space="0" w:color="auto"/>
            </w:tcBorders>
          </w:tcPr>
          <w:p w:rsidR="007E6051" w:rsidRPr="00346A9B" w:rsidRDefault="007E6051" w:rsidP="00984BE6">
            <w:pPr>
              <w:jc w:val="both"/>
              <w:rPr>
                <w:rFonts w:ascii="Times New Roman" w:hAnsi="Times New Roman" w:cs="Times New Roman"/>
              </w:rPr>
            </w:pPr>
            <w:r w:rsidRPr="00346A9B">
              <w:rPr>
                <w:rFonts w:ascii="Times New Roman" w:hAnsi="Times New Roman" w:cs="Times New Roman"/>
              </w:rPr>
              <w:t xml:space="preserve">Návrh zákona stanovuje cestovným kanceláriám zvýšené informačné povinnosti nielen vo vzťahu k cestujúcim (napr. poskytovanie informačných formulárov pred každým podpisom zmluvy o zájazde) ale aj poskytovateľom ochrany pre prípad úpadku – bankám a poisťovniam (napr. predkladanie štvrťročných účtovných závierok a podobne) rovnako tak voči štátnym orgánom (nahlasovanie zmien do zoznamu cestovných kancelárií). Táto zvýšená administratívna záťaž sa môže negatívne prejaviť v oblasti vzniknutých nepriamych finančných nákladov, nakoľko bude potrebné, aby cestovné kancelárie zabezpečovali materiály za účelom splnenia týchto povinností. Na druhej strane majú možnosť zabezpečovať väčšiu časť týchto informácií aj prostredníctvom využitia elektronickej formy komunikácie, čo môže tieto náklady znížiť. </w:t>
            </w:r>
          </w:p>
          <w:p w:rsidR="007E6051" w:rsidRPr="00346A9B" w:rsidRDefault="007E6051" w:rsidP="00984BE6">
            <w:pPr>
              <w:jc w:val="both"/>
              <w:rPr>
                <w:rFonts w:ascii="Times New Roman" w:hAnsi="Times New Roman" w:cs="Times New Roman"/>
              </w:rPr>
            </w:pPr>
          </w:p>
          <w:p w:rsidR="007E6051" w:rsidRPr="00346A9B" w:rsidRDefault="007E6051" w:rsidP="00984BE6">
            <w:pPr>
              <w:jc w:val="both"/>
              <w:rPr>
                <w:rFonts w:ascii="Times New Roman" w:hAnsi="Times New Roman" w:cs="Times New Roman"/>
              </w:rPr>
            </w:pPr>
            <w:r w:rsidRPr="00346A9B">
              <w:rPr>
                <w:rFonts w:ascii="Times New Roman" w:hAnsi="Times New Roman" w:cs="Times New Roman"/>
              </w:rPr>
              <w:t xml:space="preserve">Nakoľko sa návrhom zákona zvyšuje hranica poistnej sumy alebo bankovej záruky v rámci zabezpečenia ochrany pre prípad úpadku z 25 % na 30 % ročných plánovaných tržieb z predaja zájazdov a spojených cestovných služieb (pričom ak budú tieto tržby nižšie ako v predchádzajúcom roku, cestovná kancelária je povinná dohodnúť poistnú sumu alebo bankovú záruku vo výške najmenej 30% tržieb z predaja zájazdov a sprostredkovania spojených cestovných služieb v predchádzajúcom roku), môže sa toto navýšenie premietnuť do konečnej ceny zájazdov alebo spojených cestovných služieb pre cestujúcich. </w:t>
            </w:r>
          </w:p>
          <w:p w:rsidR="007E6051" w:rsidRPr="00346A9B" w:rsidRDefault="007E6051" w:rsidP="00984BE6">
            <w:pPr>
              <w:jc w:val="both"/>
              <w:rPr>
                <w:rFonts w:ascii="Times New Roman" w:hAnsi="Times New Roman" w:cs="Times New Roman"/>
              </w:rPr>
            </w:pPr>
          </w:p>
          <w:p w:rsidR="007E6051" w:rsidRPr="00346A9B" w:rsidRDefault="007E6051" w:rsidP="00984BE6">
            <w:pPr>
              <w:jc w:val="both"/>
              <w:rPr>
                <w:rFonts w:ascii="Times New Roman" w:hAnsi="Times New Roman" w:cs="Times New Roman"/>
              </w:rPr>
            </w:pPr>
            <w:r w:rsidRPr="00346A9B">
              <w:rPr>
                <w:rFonts w:ascii="Times New Roman" w:hAnsi="Times New Roman" w:cs="Times New Roman"/>
              </w:rPr>
              <w:t xml:space="preserve">Pretože je v týchto prípadoch potrebné vziať do úvahy aj individuálne možnosti jednotlivých podnikateľských subjektov (napr. personálne alebo materiálne vybavenie) nie je možné tieto nepriame finančné nálady generalizovať a adekvátne kvantifikovať. Navyše si konečné podmienky samotných zmlúv zabezpečujúcich ochranu pre prípad úpadku budú jednotlivé cestovné kancelárie dohadovať s poskytovateľmi ochrany pre prípad úpadku individuálne a je výlučne na týchto subjektoch, aké podmienky budú jednotlivé zmluvy obsahovať (za predpokladu, že budú v súlade s návrhom zákona), a tiež záleží od samotných cestovných kancelárií či tieto náklady aj reálne premietnu do cien zájazdov alebo spojených cestovných služieb, preto nie je možné ani tieto nepriame finančné náklady kvantifikovať. </w:t>
            </w:r>
          </w:p>
        </w:tc>
      </w:tr>
      <w:tr w:rsidR="007E6051" w:rsidRPr="00346A9B" w:rsidTr="00984BE6">
        <w:tc>
          <w:tcPr>
            <w:tcW w:w="9212" w:type="dxa"/>
            <w:tcBorders>
              <w:bottom w:val="single" w:sz="4" w:space="0" w:color="auto"/>
            </w:tcBorders>
          </w:tcPr>
          <w:p w:rsidR="007E6051" w:rsidRPr="00346A9B" w:rsidRDefault="007E6051" w:rsidP="00984BE6">
            <w:pPr>
              <w:rPr>
                <w:rFonts w:ascii="Times New Roman" w:hAnsi="Times New Roman" w:cs="Times New Roman"/>
                <w:b/>
                <w:i/>
              </w:rPr>
            </w:pPr>
            <w:r w:rsidRPr="00346A9B">
              <w:rPr>
                <w:rFonts w:ascii="Times New Roman" w:hAnsi="Times New Roman" w:cs="Times New Roman"/>
                <w:b/>
                <w:i/>
              </w:rPr>
              <w:lastRenderedPageBreak/>
              <w:t>3.3.3 Administratívne náklady</w:t>
            </w:r>
          </w:p>
          <w:p w:rsidR="007E6051" w:rsidRPr="00346A9B" w:rsidRDefault="007E6051" w:rsidP="00984BE6">
            <w:pPr>
              <w:rPr>
                <w:rFonts w:ascii="Times New Roman" w:hAnsi="Times New Roman" w:cs="Times New Roman"/>
                <w:i/>
              </w:rPr>
            </w:pPr>
            <w:r w:rsidRPr="00346A9B">
              <w:rPr>
                <w:rFonts w:ascii="Times New Roman" w:hAnsi="Times New Roman" w:cs="Times New Roman"/>
                <w:i/>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rsidR="007E6051" w:rsidRPr="00346A9B" w:rsidTr="00984BE6">
        <w:tc>
          <w:tcPr>
            <w:tcW w:w="9212" w:type="dxa"/>
            <w:tcBorders>
              <w:bottom w:val="single" w:sz="4" w:space="0" w:color="auto"/>
            </w:tcBorders>
          </w:tcPr>
          <w:p w:rsidR="007E6051" w:rsidRPr="00346A9B" w:rsidRDefault="007E6051" w:rsidP="00984BE6">
            <w:pPr>
              <w:jc w:val="both"/>
              <w:rPr>
                <w:rFonts w:ascii="Times New Roman" w:hAnsi="Times New Roman" w:cs="Times New Roman"/>
              </w:rPr>
            </w:pPr>
            <w:r w:rsidRPr="00346A9B">
              <w:rPr>
                <w:rFonts w:ascii="Times New Roman" w:hAnsi="Times New Roman" w:cs="Times New Roman"/>
              </w:rPr>
              <w:t>Návrh zákona kladie zvýšené administratívne povinnosti cestovným kanceláriám, a to najmä z dôvodu zvýšených informačných povinnosti:</w:t>
            </w:r>
          </w:p>
          <w:p w:rsidR="007E6051" w:rsidRPr="00346A9B" w:rsidRDefault="007E6051" w:rsidP="007E6051">
            <w:pPr>
              <w:pStyle w:val="Odsekzoznamu"/>
              <w:numPr>
                <w:ilvl w:val="0"/>
                <w:numId w:val="1"/>
              </w:numPr>
              <w:tabs>
                <w:tab w:val="clear" w:pos="360"/>
                <w:tab w:val="num" w:pos="284"/>
              </w:tabs>
              <w:ind w:left="284" w:hanging="284"/>
              <w:jc w:val="both"/>
              <w:rPr>
                <w:rFonts w:ascii="Times New Roman" w:hAnsi="Times New Roman" w:cs="Times New Roman"/>
                <w:sz w:val="24"/>
                <w:szCs w:val="24"/>
              </w:rPr>
            </w:pPr>
            <w:r w:rsidRPr="00346A9B">
              <w:rPr>
                <w:rFonts w:ascii="Times New Roman" w:hAnsi="Times New Roman" w:cs="Times New Roman"/>
                <w:sz w:val="24"/>
                <w:szCs w:val="24"/>
              </w:rPr>
              <w:t xml:space="preserve">vo vzťahu k cestujúcim pri poskytovaní predzmluvných informácií (§§ 14 - 15), pri poskytovaní ďalších informácií po uzatvorení zmluvy o zájazde v prípade, ak sa zmenia podmienky zmluvy o zájazde pred začiatkom zájazdu (§§ 18-21) a iných, </w:t>
            </w:r>
          </w:p>
          <w:p w:rsidR="007E6051" w:rsidRPr="00346A9B" w:rsidRDefault="007E6051" w:rsidP="007E6051">
            <w:pPr>
              <w:pStyle w:val="Odsekzoznamu"/>
              <w:numPr>
                <w:ilvl w:val="0"/>
                <w:numId w:val="1"/>
              </w:numPr>
              <w:tabs>
                <w:tab w:val="clear" w:pos="360"/>
                <w:tab w:val="num" w:pos="284"/>
              </w:tabs>
              <w:ind w:left="284" w:hanging="284"/>
              <w:jc w:val="both"/>
              <w:rPr>
                <w:rFonts w:ascii="Times New Roman" w:hAnsi="Times New Roman" w:cs="Times New Roman"/>
                <w:sz w:val="24"/>
              </w:rPr>
            </w:pPr>
            <w:r w:rsidRPr="00346A9B">
              <w:rPr>
                <w:rFonts w:ascii="Times New Roman" w:hAnsi="Times New Roman" w:cs="Times New Roman"/>
                <w:sz w:val="24"/>
              </w:rPr>
              <w:t>vo vzťahu k poskytovateľom ochrany pre prípad úpadku, napr. predkladanie účtovnej závierky, štvrťročných účtovných závierok alebo iných dokumentov (§§ 11-12)</w:t>
            </w:r>
          </w:p>
          <w:p w:rsidR="007E6051" w:rsidRPr="00346A9B" w:rsidRDefault="007E6051" w:rsidP="007E6051">
            <w:pPr>
              <w:pStyle w:val="Odsekzoznamu"/>
              <w:numPr>
                <w:ilvl w:val="0"/>
                <w:numId w:val="1"/>
              </w:numPr>
              <w:tabs>
                <w:tab w:val="clear" w:pos="360"/>
                <w:tab w:val="num" w:pos="284"/>
              </w:tabs>
              <w:ind w:left="284" w:hanging="284"/>
              <w:jc w:val="both"/>
              <w:rPr>
                <w:rFonts w:ascii="Times New Roman" w:hAnsi="Times New Roman" w:cs="Times New Roman"/>
                <w:sz w:val="24"/>
              </w:rPr>
            </w:pPr>
            <w:r w:rsidRPr="00346A9B">
              <w:rPr>
                <w:rFonts w:ascii="Times New Roman" w:hAnsi="Times New Roman" w:cs="Times New Roman"/>
                <w:sz w:val="24"/>
              </w:rPr>
              <w:t>vo vzťahu k Ministerstvu dopravy a výstavby Slovenskej republiky, napr. pri plnení informačných povinností súvisiacich so zverejňovaním zoznamu cestovných kancelárií (§11) ako aj iné informačné povinnosti súvisiace s možnosťou cezhraničného predaja zájazdov a spojených cestovných služieb (§7) .</w:t>
            </w:r>
          </w:p>
          <w:p w:rsidR="007E6051" w:rsidRPr="00346A9B" w:rsidRDefault="007E6051" w:rsidP="00984BE6">
            <w:pPr>
              <w:jc w:val="both"/>
              <w:rPr>
                <w:rFonts w:ascii="Times New Roman" w:hAnsi="Times New Roman" w:cs="Times New Roman"/>
              </w:rPr>
            </w:pPr>
            <w:r w:rsidRPr="00346A9B">
              <w:rPr>
                <w:rFonts w:ascii="Times New Roman" w:hAnsi="Times New Roman" w:cs="Times New Roman"/>
              </w:rPr>
              <w:t xml:space="preserve">Okrem toho musia cestovné kancelárie a cestovné agentúry zabezpečiť splnenie všetkých povinností podľa §§7-8. </w:t>
            </w:r>
          </w:p>
          <w:p w:rsidR="007E6051" w:rsidRPr="00346A9B" w:rsidRDefault="007E6051" w:rsidP="00984BE6">
            <w:pPr>
              <w:jc w:val="both"/>
              <w:rPr>
                <w:rFonts w:ascii="Times New Roman" w:hAnsi="Times New Roman" w:cs="Times New Roman"/>
              </w:rPr>
            </w:pPr>
            <w:r w:rsidRPr="00346A9B">
              <w:rPr>
                <w:rFonts w:ascii="Times New Roman" w:hAnsi="Times New Roman" w:cs="Times New Roman"/>
              </w:rPr>
              <w:t xml:space="preserve">Návrh zákona rovnako kladie zvýšenú administratívnu záťaž aj na subjekty poskytujúce ochranu pre prípad úpadku, a to vo vzťahu k cestovným kanceláriám (napr. prijímanie a posudzovanie štvrťročných účtovných závierok podľa §12) alebo voči štátnym orgánom (nahlasovanie zmien do zoznamu cestovných kancelárií podľa § 11 a § 13). Vykonávanie týchto povinností sa môže odraziť vo vzniku administratívnych nákladov pre tieto subjekty. </w:t>
            </w:r>
          </w:p>
          <w:p w:rsidR="007E6051" w:rsidRPr="00346A9B" w:rsidRDefault="007E6051" w:rsidP="00984BE6">
            <w:pPr>
              <w:jc w:val="both"/>
              <w:rPr>
                <w:rFonts w:ascii="Times New Roman" w:hAnsi="Times New Roman" w:cs="Times New Roman"/>
              </w:rPr>
            </w:pPr>
          </w:p>
          <w:p w:rsidR="007E6051" w:rsidRPr="00346A9B" w:rsidRDefault="007E6051" w:rsidP="00984BE6">
            <w:pPr>
              <w:jc w:val="both"/>
              <w:rPr>
                <w:rFonts w:ascii="Times New Roman" w:hAnsi="Times New Roman" w:cs="Times New Roman"/>
                <w:b/>
                <w:i/>
              </w:rPr>
            </w:pPr>
            <w:r w:rsidRPr="00346A9B">
              <w:rPr>
                <w:rFonts w:ascii="Times New Roman" w:hAnsi="Times New Roman" w:cs="Times New Roman"/>
              </w:rPr>
              <w:t xml:space="preserve">Administratívne náklady na jeden podnikateľský subjekt je možné v priemere vyčísliť na približne 500 Eur ročne. Nakoľko je v týchto prípadoch potrebné vziať do úvahy aj individuálne možnosti jednotlivých podnikateľských subjektov (napr. personálne alebo materiálne vybavenie), zvýhodnenie podmienok v rámci poskytovania zájazdov a spojených cestovných služieb aj v iných členských štátoch, a takisto aj množstvo predaných zájazdov a spojených cestovných služieb jednotlivými subjektmi, nie je možné tieto nálady na celé podnikateľské prostredie generalizovať a adekvátne kvantifikovať. Administratívne náklady na celé podnikateľské prostredie nie je možné vyčísliť aj z dôvodu, že sa návrhom zákona zavádza nový inštitút spojených cestovných služieb, ktorý sa netýka iba aktuálne podnikajúcich cestovných kancelárií a cestovných agentúr, ale môže sa dotknúť aj iných subjektov (ubytovacích zariadení, prepravných spoločností atď.), pričom nie je možné odhadnúť reakciu podnikateľského prostredia na využívanie tohto inštitútu v praxi.  </w:t>
            </w:r>
          </w:p>
        </w:tc>
      </w:tr>
      <w:tr w:rsidR="007E6051" w:rsidRPr="00346A9B" w:rsidTr="00984BE6">
        <w:trPr>
          <w:trHeight w:val="2318"/>
        </w:trPr>
        <w:tc>
          <w:tcPr>
            <w:tcW w:w="9212" w:type="dxa"/>
            <w:tcBorders>
              <w:bottom w:val="single" w:sz="4" w:space="0" w:color="auto"/>
            </w:tcBorders>
          </w:tcPr>
          <w:p w:rsidR="007E6051" w:rsidRPr="00346A9B" w:rsidRDefault="007E6051" w:rsidP="00984BE6">
            <w:pPr>
              <w:rPr>
                <w:rFonts w:ascii="Times New Roman" w:hAnsi="Times New Roman" w:cs="Times New Roman"/>
                <w:i/>
              </w:rPr>
            </w:pPr>
            <w:r w:rsidRPr="00346A9B">
              <w:rPr>
                <w:rFonts w:ascii="Times New Roman" w:hAnsi="Times New Roman" w:cs="Times New Roman"/>
                <w:b/>
                <w:i/>
              </w:rPr>
              <w:lastRenderedPageBreak/>
              <w:t>3.3.4 Súhrnná tabuľka nákladov regulácie</w:t>
            </w:r>
          </w:p>
          <w:p w:rsidR="007E6051" w:rsidRPr="00346A9B" w:rsidRDefault="007E6051" w:rsidP="00984BE6">
            <w:pPr>
              <w:rPr>
                <w:rFonts w:ascii="Times New Roman" w:hAnsi="Times New Roman" w:cs="Times New Roman"/>
                <w:i/>
              </w:rPr>
            </w:pPr>
          </w:p>
          <w:tbl>
            <w:tblPr>
              <w:tblStyle w:val="Mriekatabuky"/>
              <w:tblW w:w="0" w:type="auto"/>
              <w:tblLook w:val="04A0" w:firstRow="1" w:lastRow="0" w:firstColumn="1" w:lastColumn="0" w:noHBand="0" w:noVBand="1"/>
            </w:tblPr>
            <w:tblGrid>
              <w:gridCol w:w="2993"/>
              <w:gridCol w:w="2994"/>
              <w:gridCol w:w="2994"/>
            </w:tblGrid>
            <w:tr w:rsidR="007E6051" w:rsidRPr="00346A9B" w:rsidTr="00984BE6">
              <w:tc>
                <w:tcPr>
                  <w:tcW w:w="2993" w:type="dxa"/>
                </w:tcPr>
                <w:p w:rsidR="007E6051" w:rsidRPr="00346A9B" w:rsidRDefault="007E6051" w:rsidP="00984BE6">
                  <w:pPr>
                    <w:rPr>
                      <w:rFonts w:ascii="Times New Roman" w:hAnsi="Times New Roman" w:cs="Times New Roman"/>
                      <w:i/>
                    </w:rPr>
                  </w:pPr>
                </w:p>
              </w:tc>
              <w:tc>
                <w:tcPr>
                  <w:tcW w:w="2994" w:type="dxa"/>
                </w:tcPr>
                <w:p w:rsidR="007E6051" w:rsidRPr="00346A9B" w:rsidRDefault="007E6051" w:rsidP="00984BE6">
                  <w:pPr>
                    <w:jc w:val="center"/>
                    <w:rPr>
                      <w:rFonts w:ascii="Times New Roman" w:hAnsi="Times New Roman" w:cs="Times New Roman"/>
                      <w:i/>
                    </w:rPr>
                  </w:pPr>
                  <w:r w:rsidRPr="00346A9B">
                    <w:rPr>
                      <w:rFonts w:ascii="Times New Roman" w:hAnsi="Times New Roman" w:cs="Times New Roman"/>
                      <w:i/>
                    </w:rPr>
                    <w:t>Náklady na 1 podnikateľa</w:t>
                  </w:r>
                </w:p>
              </w:tc>
              <w:tc>
                <w:tcPr>
                  <w:tcW w:w="2994" w:type="dxa"/>
                </w:tcPr>
                <w:p w:rsidR="007E6051" w:rsidRPr="00346A9B" w:rsidRDefault="007E6051" w:rsidP="00984BE6">
                  <w:pPr>
                    <w:jc w:val="center"/>
                    <w:rPr>
                      <w:rFonts w:ascii="Times New Roman" w:hAnsi="Times New Roman" w:cs="Times New Roman"/>
                      <w:i/>
                    </w:rPr>
                  </w:pPr>
                  <w:r w:rsidRPr="00346A9B">
                    <w:rPr>
                      <w:rFonts w:ascii="Times New Roman" w:hAnsi="Times New Roman" w:cs="Times New Roman"/>
                      <w:i/>
                    </w:rPr>
                    <w:t>Náklady na celé podnikateľské prostredie</w:t>
                  </w:r>
                </w:p>
              </w:tc>
            </w:tr>
            <w:tr w:rsidR="007E6051" w:rsidRPr="00346A9B" w:rsidTr="00984BE6">
              <w:tc>
                <w:tcPr>
                  <w:tcW w:w="2993" w:type="dxa"/>
                </w:tcPr>
                <w:p w:rsidR="007E6051" w:rsidRPr="00346A9B" w:rsidRDefault="007E6051" w:rsidP="00984BE6">
                  <w:pPr>
                    <w:rPr>
                      <w:rFonts w:ascii="Times New Roman" w:hAnsi="Times New Roman" w:cs="Times New Roman"/>
                      <w:i/>
                    </w:rPr>
                  </w:pPr>
                  <w:r w:rsidRPr="00346A9B">
                    <w:rPr>
                      <w:rFonts w:ascii="Times New Roman" w:hAnsi="Times New Roman" w:cs="Times New Roman"/>
                      <w:i/>
                    </w:rPr>
                    <w:t>Priame finančné náklady</w:t>
                  </w:r>
                </w:p>
              </w:tc>
              <w:tc>
                <w:tcPr>
                  <w:tcW w:w="2994" w:type="dxa"/>
                </w:tcPr>
                <w:p w:rsidR="007E6051" w:rsidRPr="00346A9B" w:rsidRDefault="007E6051" w:rsidP="00984BE6">
                  <w:pPr>
                    <w:jc w:val="center"/>
                    <w:rPr>
                      <w:rFonts w:ascii="Times New Roman" w:hAnsi="Times New Roman" w:cs="Times New Roman"/>
                      <w:i/>
                    </w:rPr>
                  </w:pPr>
                  <w:r w:rsidRPr="00346A9B">
                    <w:rPr>
                      <w:rFonts w:ascii="Times New Roman" w:hAnsi="Times New Roman" w:cs="Times New Roman"/>
                      <w:i/>
                    </w:rPr>
                    <w:t>0</w:t>
                  </w:r>
                </w:p>
              </w:tc>
              <w:tc>
                <w:tcPr>
                  <w:tcW w:w="2994" w:type="dxa"/>
                </w:tcPr>
                <w:p w:rsidR="007E6051" w:rsidRPr="00346A9B" w:rsidRDefault="007E6051" w:rsidP="00984BE6">
                  <w:pPr>
                    <w:jc w:val="center"/>
                    <w:rPr>
                      <w:rFonts w:ascii="Times New Roman" w:hAnsi="Times New Roman" w:cs="Times New Roman"/>
                      <w:i/>
                    </w:rPr>
                  </w:pPr>
                  <w:r w:rsidRPr="00346A9B">
                    <w:rPr>
                      <w:rFonts w:ascii="Times New Roman" w:hAnsi="Times New Roman" w:cs="Times New Roman"/>
                      <w:i/>
                    </w:rPr>
                    <w:t>0</w:t>
                  </w:r>
                </w:p>
              </w:tc>
            </w:tr>
            <w:tr w:rsidR="007E6051" w:rsidRPr="00346A9B" w:rsidTr="00984BE6">
              <w:tc>
                <w:tcPr>
                  <w:tcW w:w="2993" w:type="dxa"/>
                </w:tcPr>
                <w:p w:rsidR="007E6051" w:rsidRPr="00346A9B" w:rsidRDefault="007E6051" w:rsidP="00984BE6">
                  <w:pPr>
                    <w:rPr>
                      <w:rFonts w:ascii="Times New Roman" w:hAnsi="Times New Roman" w:cs="Times New Roman"/>
                      <w:i/>
                    </w:rPr>
                  </w:pPr>
                  <w:r w:rsidRPr="00346A9B">
                    <w:rPr>
                      <w:rFonts w:ascii="Times New Roman" w:hAnsi="Times New Roman" w:cs="Times New Roman"/>
                      <w:i/>
                    </w:rPr>
                    <w:t>Nepriame finančné náklady</w:t>
                  </w:r>
                </w:p>
              </w:tc>
              <w:tc>
                <w:tcPr>
                  <w:tcW w:w="2994" w:type="dxa"/>
                </w:tcPr>
                <w:p w:rsidR="007E6051" w:rsidRPr="00346A9B" w:rsidRDefault="007E6051" w:rsidP="00984BE6">
                  <w:pPr>
                    <w:jc w:val="center"/>
                    <w:rPr>
                      <w:rFonts w:ascii="Times New Roman" w:hAnsi="Times New Roman" w:cs="Times New Roman"/>
                      <w:i/>
                    </w:rPr>
                  </w:pPr>
                  <w:r w:rsidRPr="00346A9B">
                    <w:rPr>
                      <w:rFonts w:ascii="Times New Roman" w:hAnsi="Times New Roman" w:cs="Times New Roman"/>
                      <w:i/>
                    </w:rPr>
                    <w:t>N/A</w:t>
                  </w:r>
                </w:p>
              </w:tc>
              <w:tc>
                <w:tcPr>
                  <w:tcW w:w="2994" w:type="dxa"/>
                </w:tcPr>
                <w:p w:rsidR="007E6051" w:rsidRPr="00346A9B" w:rsidRDefault="007E6051" w:rsidP="00984BE6">
                  <w:pPr>
                    <w:jc w:val="center"/>
                    <w:rPr>
                      <w:rFonts w:ascii="Times New Roman" w:hAnsi="Times New Roman" w:cs="Times New Roman"/>
                      <w:i/>
                    </w:rPr>
                  </w:pPr>
                  <w:r w:rsidRPr="00346A9B">
                    <w:rPr>
                      <w:rFonts w:ascii="Times New Roman" w:hAnsi="Times New Roman" w:cs="Times New Roman"/>
                      <w:i/>
                    </w:rPr>
                    <w:t>N/A</w:t>
                  </w:r>
                </w:p>
              </w:tc>
            </w:tr>
            <w:tr w:rsidR="007E6051" w:rsidRPr="00346A9B" w:rsidTr="00984BE6">
              <w:tc>
                <w:tcPr>
                  <w:tcW w:w="2993" w:type="dxa"/>
                </w:tcPr>
                <w:p w:rsidR="007E6051" w:rsidRPr="00346A9B" w:rsidRDefault="007E6051" w:rsidP="00984BE6">
                  <w:pPr>
                    <w:rPr>
                      <w:rFonts w:ascii="Times New Roman" w:hAnsi="Times New Roman" w:cs="Times New Roman"/>
                      <w:i/>
                    </w:rPr>
                  </w:pPr>
                  <w:r w:rsidRPr="00346A9B">
                    <w:rPr>
                      <w:rFonts w:ascii="Times New Roman" w:hAnsi="Times New Roman" w:cs="Times New Roman"/>
                      <w:i/>
                    </w:rPr>
                    <w:t>Administratívne náklady</w:t>
                  </w:r>
                </w:p>
              </w:tc>
              <w:tc>
                <w:tcPr>
                  <w:tcW w:w="2994" w:type="dxa"/>
                </w:tcPr>
                <w:p w:rsidR="007E6051" w:rsidRPr="00346A9B" w:rsidRDefault="007E6051" w:rsidP="00984BE6">
                  <w:pPr>
                    <w:jc w:val="center"/>
                    <w:rPr>
                      <w:rFonts w:ascii="Times New Roman" w:hAnsi="Times New Roman" w:cs="Times New Roman"/>
                      <w:i/>
                    </w:rPr>
                  </w:pPr>
                  <w:r w:rsidRPr="00346A9B">
                    <w:rPr>
                      <w:rFonts w:ascii="Times New Roman" w:hAnsi="Times New Roman" w:cs="Times New Roman"/>
                      <w:i/>
                    </w:rPr>
                    <w:t>500</w:t>
                  </w:r>
                </w:p>
              </w:tc>
              <w:tc>
                <w:tcPr>
                  <w:tcW w:w="2994" w:type="dxa"/>
                </w:tcPr>
                <w:p w:rsidR="007E6051" w:rsidRPr="00346A9B" w:rsidRDefault="007E6051" w:rsidP="00984BE6">
                  <w:pPr>
                    <w:jc w:val="center"/>
                    <w:rPr>
                      <w:rFonts w:ascii="Times New Roman" w:hAnsi="Times New Roman" w:cs="Times New Roman"/>
                      <w:i/>
                    </w:rPr>
                  </w:pPr>
                  <w:r w:rsidRPr="00346A9B">
                    <w:rPr>
                      <w:rFonts w:ascii="Times New Roman" w:hAnsi="Times New Roman" w:cs="Times New Roman"/>
                      <w:i/>
                    </w:rPr>
                    <w:t>N/A</w:t>
                  </w:r>
                </w:p>
              </w:tc>
            </w:tr>
            <w:tr w:rsidR="007E6051" w:rsidRPr="00346A9B" w:rsidTr="00984BE6">
              <w:tc>
                <w:tcPr>
                  <w:tcW w:w="2993" w:type="dxa"/>
                </w:tcPr>
                <w:p w:rsidR="007E6051" w:rsidRPr="00346A9B" w:rsidRDefault="007E6051" w:rsidP="00984BE6">
                  <w:pPr>
                    <w:rPr>
                      <w:rFonts w:ascii="Times New Roman" w:hAnsi="Times New Roman" w:cs="Times New Roman"/>
                      <w:b/>
                      <w:i/>
                    </w:rPr>
                  </w:pPr>
                  <w:r w:rsidRPr="00346A9B">
                    <w:rPr>
                      <w:rFonts w:ascii="Times New Roman" w:hAnsi="Times New Roman" w:cs="Times New Roman"/>
                      <w:b/>
                      <w:i/>
                    </w:rPr>
                    <w:t>Celkové náklady regulácie</w:t>
                  </w:r>
                </w:p>
              </w:tc>
              <w:tc>
                <w:tcPr>
                  <w:tcW w:w="2994" w:type="dxa"/>
                </w:tcPr>
                <w:p w:rsidR="007E6051" w:rsidRPr="00346A9B" w:rsidRDefault="007E6051" w:rsidP="00984BE6">
                  <w:pPr>
                    <w:jc w:val="center"/>
                    <w:rPr>
                      <w:rFonts w:ascii="Times New Roman" w:hAnsi="Times New Roman" w:cs="Times New Roman"/>
                      <w:b/>
                      <w:i/>
                    </w:rPr>
                  </w:pPr>
                  <w:r w:rsidRPr="00346A9B">
                    <w:rPr>
                      <w:rFonts w:ascii="Times New Roman" w:hAnsi="Times New Roman" w:cs="Times New Roman"/>
                      <w:b/>
                      <w:i/>
                    </w:rPr>
                    <w:t>N/A</w:t>
                  </w:r>
                </w:p>
              </w:tc>
              <w:tc>
                <w:tcPr>
                  <w:tcW w:w="2994" w:type="dxa"/>
                </w:tcPr>
                <w:p w:rsidR="007E6051" w:rsidRPr="00346A9B" w:rsidRDefault="007E6051" w:rsidP="00984BE6">
                  <w:pPr>
                    <w:jc w:val="center"/>
                    <w:rPr>
                      <w:rFonts w:ascii="Times New Roman" w:hAnsi="Times New Roman" w:cs="Times New Roman"/>
                      <w:b/>
                      <w:i/>
                    </w:rPr>
                  </w:pPr>
                  <w:r w:rsidRPr="00346A9B">
                    <w:rPr>
                      <w:rFonts w:ascii="Times New Roman" w:hAnsi="Times New Roman" w:cs="Times New Roman"/>
                      <w:b/>
                      <w:i/>
                    </w:rPr>
                    <w:t>N/A</w:t>
                  </w:r>
                </w:p>
              </w:tc>
            </w:tr>
          </w:tbl>
          <w:p w:rsidR="007E6051" w:rsidRPr="00346A9B" w:rsidRDefault="007E6051" w:rsidP="00984BE6">
            <w:pPr>
              <w:rPr>
                <w:rFonts w:ascii="Times New Roman" w:hAnsi="Times New Roman" w:cs="Times New Roman"/>
                <w:i/>
              </w:rPr>
            </w:pPr>
          </w:p>
        </w:tc>
      </w:tr>
      <w:tr w:rsidR="007E6051" w:rsidRPr="00346A9B" w:rsidTr="00984BE6">
        <w:tc>
          <w:tcPr>
            <w:tcW w:w="9212" w:type="dxa"/>
            <w:shd w:val="clear" w:color="auto" w:fill="D9D9D9" w:themeFill="background1" w:themeFillShade="D9"/>
          </w:tcPr>
          <w:p w:rsidR="007E6051" w:rsidRPr="00346A9B" w:rsidRDefault="007E6051" w:rsidP="00984BE6">
            <w:pPr>
              <w:rPr>
                <w:rFonts w:ascii="Times New Roman" w:hAnsi="Times New Roman" w:cs="Times New Roman"/>
                <w:b/>
              </w:rPr>
            </w:pPr>
            <w:r w:rsidRPr="00346A9B">
              <w:rPr>
                <w:rFonts w:ascii="Times New Roman" w:hAnsi="Times New Roman" w:cs="Times New Roman"/>
                <w:b/>
              </w:rPr>
              <w:t>3.4 Konkurencieschopnosť a správanie sa podnikov na trhu</w:t>
            </w:r>
          </w:p>
          <w:p w:rsidR="007E6051" w:rsidRPr="00346A9B" w:rsidRDefault="007E6051" w:rsidP="00984BE6">
            <w:pPr>
              <w:rPr>
                <w:rFonts w:ascii="Times New Roman" w:hAnsi="Times New Roman" w:cs="Times New Roman"/>
              </w:rPr>
            </w:pPr>
            <w:r w:rsidRPr="00346A9B">
              <w:rPr>
                <w:rFonts w:ascii="Times New Roman" w:hAnsi="Times New Roman" w:cs="Times New Roman"/>
                <w:b/>
              </w:rPr>
              <w:t xml:space="preserve">       </w:t>
            </w:r>
            <w:r w:rsidRPr="00346A9B">
              <w:rPr>
                <w:rFonts w:ascii="Times New Roman" w:hAnsi="Times New Roman" w:cs="Times New Roman"/>
              </w:rPr>
              <w:t xml:space="preserve">- </w:t>
            </w:r>
            <w:r w:rsidRPr="00346A9B">
              <w:rPr>
                <w:rFonts w:ascii="Times New Roman" w:hAnsi="Times New Roman" w:cs="Times New Roman"/>
                <w:b/>
              </w:rPr>
              <w:t>z toho MSP</w:t>
            </w:r>
          </w:p>
        </w:tc>
      </w:tr>
      <w:tr w:rsidR="007E6051" w:rsidRPr="00346A9B" w:rsidTr="00984BE6">
        <w:tc>
          <w:tcPr>
            <w:tcW w:w="9212" w:type="dxa"/>
            <w:tcBorders>
              <w:bottom w:val="single" w:sz="4" w:space="0" w:color="auto"/>
            </w:tcBorders>
          </w:tcPr>
          <w:p w:rsidR="007E6051" w:rsidRPr="00346A9B" w:rsidRDefault="007E6051" w:rsidP="00984BE6">
            <w:pPr>
              <w:rPr>
                <w:rFonts w:ascii="Times New Roman" w:hAnsi="Times New Roman" w:cs="Times New Roman"/>
                <w:i/>
              </w:rPr>
            </w:pPr>
            <w:r w:rsidRPr="00346A9B">
              <w:rPr>
                <w:rFonts w:ascii="Times New Roman" w:hAnsi="Times New Roman" w:cs="Times New Roman"/>
                <w:i/>
              </w:rPr>
              <w:t xml:space="preserve">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w:t>
            </w:r>
            <w:proofErr w:type="spellStart"/>
            <w:r w:rsidRPr="00346A9B">
              <w:rPr>
                <w:rFonts w:ascii="Times New Roman" w:hAnsi="Times New Roman" w:cs="Times New Roman"/>
                <w:i/>
              </w:rPr>
              <w:t>mikro</w:t>
            </w:r>
            <w:proofErr w:type="spellEnd"/>
            <w:r w:rsidRPr="00346A9B">
              <w:rPr>
                <w:rFonts w:ascii="Times New Roman" w:hAnsi="Times New Roman" w:cs="Times New Roman"/>
                <w:i/>
              </w:rPr>
              <w:t>, malé a stredné podniky tzv. MSP)? Ak áno, popíšte.</w:t>
            </w:r>
          </w:p>
          <w:p w:rsidR="007E6051" w:rsidRPr="00346A9B" w:rsidRDefault="007E6051" w:rsidP="00984BE6">
            <w:pPr>
              <w:rPr>
                <w:rFonts w:ascii="Times New Roman" w:hAnsi="Times New Roman" w:cs="Times New Roman"/>
                <w:i/>
              </w:rPr>
            </w:pPr>
            <w:r w:rsidRPr="00346A9B">
              <w:rPr>
                <w:rFonts w:ascii="Times New Roman" w:hAnsi="Times New Roman" w:cs="Times New Roman"/>
                <w:i/>
              </w:rPr>
              <w:t>Aký vplyv bude mať navrhovaná zmena na obchodné bariéry? Bude mať vplyv na vyvolanie cezhraničných investícií (príliv /odliv zahraničných investícií resp. uplatnenie slovenských podnikov na zahraničných trhoch)? Ak áno, popíšte.</w:t>
            </w:r>
          </w:p>
          <w:p w:rsidR="007E6051" w:rsidRPr="00346A9B" w:rsidRDefault="007E6051" w:rsidP="00984BE6">
            <w:pPr>
              <w:rPr>
                <w:rFonts w:ascii="Times New Roman" w:hAnsi="Times New Roman" w:cs="Times New Roman"/>
                <w:i/>
              </w:rPr>
            </w:pPr>
            <w:r w:rsidRPr="00346A9B">
              <w:rPr>
                <w:rFonts w:ascii="Times New Roman" w:hAnsi="Times New Roman" w:cs="Times New Roman"/>
                <w:i/>
              </w:rPr>
              <w:t>Ako ovplyvní cenu alebo dostupnosť základných zdrojov (suroviny, mechanizmy, pracovná sila, energie atď.)?</w:t>
            </w:r>
          </w:p>
          <w:p w:rsidR="007E6051" w:rsidRPr="00346A9B" w:rsidRDefault="007E6051" w:rsidP="00984BE6">
            <w:pPr>
              <w:rPr>
                <w:rFonts w:ascii="Times New Roman" w:hAnsi="Times New Roman" w:cs="Times New Roman"/>
                <w:i/>
              </w:rPr>
            </w:pPr>
            <w:r w:rsidRPr="00346A9B">
              <w:rPr>
                <w:rFonts w:ascii="Times New Roman" w:hAnsi="Times New Roman" w:cs="Times New Roman"/>
                <w:i/>
              </w:rPr>
              <w:t>Ovplyvňuje prístup k financiám? Ak áno, ako?</w:t>
            </w:r>
          </w:p>
          <w:p w:rsidR="007E6051" w:rsidRPr="00346A9B" w:rsidRDefault="007E6051" w:rsidP="00984BE6">
            <w:pPr>
              <w:rPr>
                <w:rFonts w:ascii="Times New Roman" w:hAnsi="Times New Roman" w:cs="Times New Roman"/>
                <w:i/>
              </w:rPr>
            </w:pPr>
          </w:p>
        </w:tc>
      </w:tr>
      <w:tr w:rsidR="007E6051" w:rsidRPr="00346A9B" w:rsidTr="00984BE6">
        <w:trPr>
          <w:trHeight w:val="1282"/>
        </w:trPr>
        <w:tc>
          <w:tcPr>
            <w:tcW w:w="9212" w:type="dxa"/>
            <w:tcBorders>
              <w:bottom w:val="single" w:sz="4" w:space="0" w:color="auto"/>
            </w:tcBorders>
          </w:tcPr>
          <w:p w:rsidR="007E6051" w:rsidRPr="00346A9B" w:rsidRDefault="007E6051" w:rsidP="00984BE6">
            <w:pPr>
              <w:jc w:val="both"/>
              <w:rPr>
                <w:rFonts w:ascii="Times New Roman" w:hAnsi="Times New Roman" w:cs="Times New Roman"/>
              </w:rPr>
            </w:pPr>
            <w:r w:rsidRPr="00346A9B">
              <w:rPr>
                <w:rFonts w:ascii="Times New Roman" w:hAnsi="Times New Roman" w:cs="Times New Roman"/>
              </w:rPr>
              <w:t xml:space="preserve">Návrh zákona má pozitívny vplyv na konkurencieschopnosť podnikateľských subjektov v postavení cestovných kancelárií. Nakoľko ide o transpozíciu smernice pričom je vyžadovaný úplný stupeň harmonizácie, zjednotia sa základné podmienky cestovného ruchu vo všetkých členských krajinách Európskej únie. V návrhu zákona sú výslovné ustanovenia, ktoré pomôžu cestovným kanceláriám podnikajúcim v iných členských štátoch. Jedným z týchto ustanovení je povinnosť členských štátov uznávať ochranu pre prípad úpadku cestovnej kancelárie z iného členského štátu. Jednotné právne požiadavky v jednotlivých členských štátoch, zabezpečia, že podniky v oblasti cestovných služieb si si budú schopné konkurovať za rovnakých podmienok. Konkurencieschopnosť podnikateľských subjektov sa zvýši aj obmedzením a eliminovaním nekalých praktík podnikania v cestovnom ruchu (napríklad nedostatočným poistným krytím a teda aj nižšími celkovými nákladmi finálnej ceny zájazdu alebo služby), či zohľadnením navrhovanej požiadavky dôveryhodnosti. </w:t>
            </w:r>
          </w:p>
          <w:p w:rsidR="007E6051" w:rsidRPr="00346A9B" w:rsidRDefault="007E6051" w:rsidP="00984BE6">
            <w:pPr>
              <w:jc w:val="both"/>
              <w:rPr>
                <w:rFonts w:ascii="Times New Roman" w:hAnsi="Times New Roman" w:cs="Times New Roman"/>
              </w:rPr>
            </w:pPr>
          </w:p>
          <w:p w:rsidR="007E6051" w:rsidRPr="00346A9B" w:rsidRDefault="007E6051" w:rsidP="00984BE6">
            <w:pPr>
              <w:jc w:val="both"/>
              <w:rPr>
                <w:rFonts w:ascii="Times New Roman" w:hAnsi="Times New Roman" w:cs="Times New Roman"/>
              </w:rPr>
            </w:pPr>
            <w:r w:rsidRPr="00346A9B">
              <w:rPr>
                <w:rFonts w:ascii="Times New Roman" w:hAnsi="Times New Roman" w:cs="Times New Roman"/>
              </w:rPr>
              <w:t xml:space="preserve">Štandardizoval a zjednotil sa aj charakter informácií, ktoré sú cestovné kancelárie povinné poskytnúť cestujúcim. Nakoľko sa regulovala aj oblasť poskytovania a sprostredkovania spojených cestovných služieb, posilní sa právna istota cestujúcich v tieto služby cestovného ruchu, preto budú títo poskytovatelia schopní konkurovať aj cestovným kanceláriám ponúkajúcim tradičné zájazdy. </w:t>
            </w:r>
          </w:p>
        </w:tc>
      </w:tr>
      <w:tr w:rsidR="007E6051" w:rsidRPr="00346A9B" w:rsidTr="00984BE6">
        <w:tc>
          <w:tcPr>
            <w:tcW w:w="9212" w:type="dxa"/>
            <w:shd w:val="clear" w:color="auto" w:fill="D9D9D9" w:themeFill="background1" w:themeFillShade="D9"/>
          </w:tcPr>
          <w:p w:rsidR="007E6051" w:rsidRPr="00346A9B" w:rsidRDefault="007E6051" w:rsidP="00984BE6">
            <w:pPr>
              <w:rPr>
                <w:rFonts w:ascii="Times New Roman" w:hAnsi="Times New Roman" w:cs="Times New Roman"/>
                <w:b/>
              </w:rPr>
            </w:pPr>
            <w:r w:rsidRPr="00346A9B">
              <w:rPr>
                <w:rFonts w:ascii="Times New Roman" w:hAnsi="Times New Roman" w:cs="Times New Roman"/>
                <w:b/>
              </w:rPr>
              <w:t xml:space="preserve">3.5 Inovácie </w:t>
            </w:r>
          </w:p>
          <w:p w:rsidR="007E6051" w:rsidRPr="00346A9B" w:rsidRDefault="007E6051" w:rsidP="00984BE6">
            <w:pPr>
              <w:rPr>
                <w:rFonts w:ascii="Times New Roman" w:hAnsi="Times New Roman" w:cs="Times New Roman"/>
                <w:b/>
              </w:rPr>
            </w:pPr>
            <w:r w:rsidRPr="00346A9B">
              <w:rPr>
                <w:rFonts w:ascii="Times New Roman" w:hAnsi="Times New Roman" w:cs="Times New Roman"/>
              </w:rPr>
              <w:t xml:space="preserve">       - </w:t>
            </w:r>
            <w:r w:rsidRPr="00346A9B">
              <w:rPr>
                <w:rFonts w:ascii="Times New Roman" w:hAnsi="Times New Roman" w:cs="Times New Roman"/>
                <w:b/>
              </w:rPr>
              <w:t>z toho MSP</w:t>
            </w:r>
          </w:p>
        </w:tc>
      </w:tr>
      <w:tr w:rsidR="007E6051" w:rsidRPr="00346A9B" w:rsidTr="00984BE6">
        <w:tc>
          <w:tcPr>
            <w:tcW w:w="9212" w:type="dxa"/>
          </w:tcPr>
          <w:p w:rsidR="007E6051" w:rsidRPr="00346A9B" w:rsidRDefault="007E6051" w:rsidP="00984BE6">
            <w:pPr>
              <w:rPr>
                <w:rFonts w:ascii="Times New Roman" w:hAnsi="Times New Roman" w:cs="Times New Roman"/>
                <w:i/>
              </w:rPr>
            </w:pPr>
            <w:r w:rsidRPr="00346A9B">
              <w:rPr>
                <w:rFonts w:ascii="Times New Roman" w:hAnsi="Times New Roman" w:cs="Times New Roman"/>
                <w:i/>
              </w:rPr>
              <w:t>Uveďte, ako podporuje navrhovaná zmena inovácie.</w:t>
            </w:r>
          </w:p>
          <w:p w:rsidR="007E6051" w:rsidRPr="00346A9B" w:rsidRDefault="007E6051" w:rsidP="00984BE6">
            <w:pPr>
              <w:rPr>
                <w:rFonts w:ascii="Times New Roman" w:hAnsi="Times New Roman" w:cs="Times New Roman"/>
                <w:i/>
              </w:rPr>
            </w:pPr>
            <w:r w:rsidRPr="00346A9B">
              <w:rPr>
                <w:rFonts w:ascii="Times New Roman" w:hAnsi="Times New Roman" w:cs="Times New Roman"/>
                <w:i/>
              </w:rPr>
              <w:t>Zjednodušuje uvedenie alebo rozšírenie nových výrobných metód, technológií a výrobkov na trh?</w:t>
            </w:r>
          </w:p>
          <w:p w:rsidR="007E6051" w:rsidRPr="00346A9B" w:rsidRDefault="007E6051" w:rsidP="00984BE6">
            <w:pPr>
              <w:rPr>
                <w:rFonts w:ascii="Times New Roman" w:hAnsi="Times New Roman" w:cs="Times New Roman"/>
                <w:i/>
              </w:rPr>
            </w:pPr>
            <w:r w:rsidRPr="00346A9B">
              <w:rPr>
                <w:rFonts w:ascii="Times New Roman" w:hAnsi="Times New Roman" w:cs="Times New Roman"/>
                <w:i/>
              </w:rPr>
              <w:t xml:space="preserve">Uveďte, ako vplýva navrhovaná zmena na jednotlivé práva duševného vlastníctva (napr. patenty, ochranné známky, autorské práva, vlastníctvo </w:t>
            </w:r>
            <w:proofErr w:type="spellStart"/>
            <w:r w:rsidRPr="00346A9B">
              <w:rPr>
                <w:rFonts w:ascii="Times New Roman" w:hAnsi="Times New Roman" w:cs="Times New Roman"/>
                <w:i/>
              </w:rPr>
              <w:t>know-how</w:t>
            </w:r>
            <w:proofErr w:type="spellEnd"/>
            <w:r w:rsidRPr="00346A9B">
              <w:rPr>
                <w:rFonts w:ascii="Times New Roman" w:hAnsi="Times New Roman" w:cs="Times New Roman"/>
                <w:i/>
              </w:rPr>
              <w:t>).</w:t>
            </w:r>
          </w:p>
          <w:p w:rsidR="007E6051" w:rsidRPr="00346A9B" w:rsidRDefault="007E6051" w:rsidP="00984BE6">
            <w:pPr>
              <w:rPr>
                <w:rFonts w:ascii="Times New Roman" w:hAnsi="Times New Roman" w:cs="Times New Roman"/>
                <w:i/>
              </w:rPr>
            </w:pPr>
            <w:r w:rsidRPr="00346A9B">
              <w:rPr>
                <w:rFonts w:ascii="Times New Roman" w:hAnsi="Times New Roman" w:cs="Times New Roman"/>
                <w:i/>
              </w:rPr>
              <w:t>Podporuje vyššiu efektivitu výroby/využívania zdrojov? Ak áno, ako?</w:t>
            </w:r>
          </w:p>
          <w:p w:rsidR="007E6051" w:rsidRPr="00346A9B" w:rsidRDefault="007E6051" w:rsidP="00984BE6">
            <w:pPr>
              <w:rPr>
                <w:rFonts w:ascii="Times New Roman" w:hAnsi="Times New Roman" w:cs="Times New Roman"/>
              </w:rPr>
            </w:pPr>
            <w:r w:rsidRPr="00346A9B">
              <w:rPr>
                <w:rFonts w:ascii="Times New Roman" w:hAnsi="Times New Roman" w:cs="Times New Roman"/>
                <w:i/>
              </w:rPr>
              <w:t>Vytvorí zmena nové pracovné miesta pre zamestnancov výskumu a vývoja v SR?</w:t>
            </w:r>
          </w:p>
        </w:tc>
      </w:tr>
      <w:tr w:rsidR="007E6051" w:rsidRPr="00346A9B" w:rsidTr="00984BE6">
        <w:trPr>
          <w:trHeight w:val="1747"/>
        </w:trPr>
        <w:tc>
          <w:tcPr>
            <w:tcW w:w="9212" w:type="dxa"/>
          </w:tcPr>
          <w:p w:rsidR="007E6051" w:rsidRPr="00346A9B" w:rsidRDefault="007E6051" w:rsidP="00984BE6">
            <w:pPr>
              <w:jc w:val="both"/>
              <w:rPr>
                <w:rFonts w:ascii="Times New Roman" w:hAnsi="Times New Roman" w:cs="Times New Roman"/>
              </w:rPr>
            </w:pPr>
            <w:r w:rsidRPr="00346A9B">
              <w:rPr>
                <w:rFonts w:ascii="Times New Roman" w:hAnsi="Times New Roman" w:cs="Times New Roman"/>
              </w:rPr>
              <w:t>Návrh zákona nevyvolá priamo vplyv na inovácie. Je však možné, že podnieti jednotlivé podnikateľské subjekty k lepšej elektronizácii tokov informácii vzhľadom k tomu, že spôsob sprístupnenia informácii elektronicky je často žiadaná forma sprístupnenia informácie, rovnako ako je elektronická komunikácia často efektívnejšia a rýchlejšia.</w:t>
            </w:r>
          </w:p>
          <w:p w:rsidR="007E6051" w:rsidRPr="00346A9B" w:rsidRDefault="007E6051" w:rsidP="00984BE6">
            <w:pPr>
              <w:jc w:val="both"/>
              <w:rPr>
                <w:rFonts w:ascii="Times New Roman" w:hAnsi="Times New Roman" w:cs="Times New Roman"/>
                <w:i/>
              </w:rPr>
            </w:pPr>
          </w:p>
        </w:tc>
      </w:tr>
    </w:tbl>
    <w:p w:rsidR="00327746" w:rsidRPr="00346A9B" w:rsidRDefault="00327746">
      <w:bookmarkStart w:id="0" w:name="_GoBack"/>
      <w:bookmarkEnd w:id="0"/>
    </w:p>
    <w:sectPr w:rsidR="00327746" w:rsidRPr="00346A9B" w:rsidSect="00D7150F">
      <w:pgSz w:w="11906" w:h="16838"/>
      <w:pgMar w:top="993"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31A5E"/>
    <w:multiLevelType w:val="hybridMultilevel"/>
    <w:tmpl w:val="83C2295C"/>
    <w:lvl w:ilvl="0" w:tplc="892E487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39D0156A"/>
    <w:multiLevelType w:val="hybridMultilevel"/>
    <w:tmpl w:val="8CCCDC22"/>
    <w:lvl w:ilvl="0" w:tplc="D1D220B2">
      <w:start w:val="1"/>
      <w:numFmt w:val="bullet"/>
      <w:lvlText w:val="-"/>
      <w:lvlJc w:val="left"/>
      <w:pPr>
        <w:tabs>
          <w:tab w:val="num" w:pos="360"/>
        </w:tabs>
        <w:ind w:left="360" w:hanging="360"/>
      </w:pPr>
      <w:rPr>
        <w:rFonts w:ascii="Times New Roman" w:eastAsia="Times New Roman" w:hAnsi="Times New Roman" w:cs="Times New Roman" w:hint="default"/>
      </w:rPr>
    </w:lvl>
    <w:lvl w:ilvl="1" w:tplc="041B0003" w:tentative="1">
      <w:start w:val="1"/>
      <w:numFmt w:val="bullet"/>
      <w:lvlText w:val="o"/>
      <w:lvlJc w:val="left"/>
      <w:pPr>
        <w:tabs>
          <w:tab w:val="num" w:pos="1620"/>
        </w:tabs>
        <w:ind w:left="1620" w:hanging="360"/>
      </w:pPr>
      <w:rPr>
        <w:rFonts w:ascii="Courier New" w:hAnsi="Courier New" w:cs="Courier New" w:hint="default"/>
      </w:rPr>
    </w:lvl>
    <w:lvl w:ilvl="2" w:tplc="041B0005" w:tentative="1">
      <w:start w:val="1"/>
      <w:numFmt w:val="bullet"/>
      <w:lvlText w:val=""/>
      <w:lvlJc w:val="left"/>
      <w:pPr>
        <w:tabs>
          <w:tab w:val="num" w:pos="2340"/>
        </w:tabs>
        <w:ind w:left="2340" w:hanging="360"/>
      </w:pPr>
      <w:rPr>
        <w:rFonts w:ascii="Wingdings" w:hAnsi="Wingdings" w:hint="default"/>
      </w:rPr>
    </w:lvl>
    <w:lvl w:ilvl="3" w:tplc="041B0001" w:tentative="1">
      <w:start w:val="1"/>
      <w:numFmt w:val="bullet"/>
      <w:lvlText w:val=""/>
      <w:lvlJc w:val="left"/>
      <w:pPr>
        <w:tabs>
          <w:tab w:val="num" w:pos="3060"/>
        </w:tabs>
        <w:ind w:left="3060" w:hanging="360"/>
      </w:pPr>
      <w:rPr>
        <w:rFonts w:ascii="Symbol" w:hAnsi="Symbol" w:hint="default"/>
      </w:rPr>
    </w:lvl>
    <w:lvl w:ilvl="4" w:tplc="041B0003" w:tentative="1">
      <w:start w:val="1"/>
      <w:numFmt w:val="bullet"/>
      <w:lvlText w:val="o"/>
      <w:lvlJc w:val="left"/>
      <w:pPr>
        <w:tabs>
          <w:tab w:val="num" w:pos="3780"/>
        </w:tabs>
        <w:ind w:left="3780" w:hanging="360"/>
      </w:pPr>
      <w:rPr>
        <w:rFonts w:ascii="Courier New" w:hAnsi="Courier New" w:cs="Courier New" w:hint="default"/>
      </w:rPr>
    </w:lvl>
    <w:lvl w:ilvl="5" w:tplc="041B0005" w:tentative="1">
      <w:start w:val="1"/>
      <w:numFmt w:val="bullet"/>
      <w:lvlText w:val=""/>
      <w:lvlJc w:val="left"/>
      <w:pPr>
        <w:tabs>
          <w:tab w:val="num" w:pos="4500"/>
        </w:tabs>
        <w:ind w:left="4500" w:hanging="360"/>
      </w:pPr>
      <w:rPr>
        <w:rFonts w:ascii="Wingdings" w:hAnsi="Wingdings" w:hint="default"/>
      </w:rPr>
    </w:lvl>
    <w:lvl w:ilvl="6" w:tplc="041B0001" w:tentative="1">
      <w:start w:val="1"/>
      <w:numFmt w:val="bullet"/>
      <w:lvlText w:val=""/>
      <w:lvlJc w:val="left"/>
      <w:pPr>
        <w:tabs>
          <w:tab w:val="num" w:pos="5220"/>
        </w:tabs>
        <w:ind w:left="5220" w:hanging="360"/>
      </w:pPr>
      <w:rPr>
        <w:rFonts w:ascii="Symbol" w:hAnsi="Symbol" w:hint="default"/>
      </w:rPr>
    </w:lvl>
    <w:lvl w:ilvl="7" w:tplc="041B0003" w:tentative="1">
      <w:start w:val="1"/>
      <w:numFmt w:val="bullet"/>
      <w:lvlText w:val="o"/>
      <w:lvlJc w:val="left"/>
      <w:pPr>
        <w:tabs>
          <w:tab w:val="num" w:pos="5940"/>
        </w:tabs>
        <w:ind w:left="5940" w:hanging="360"/>
      </w:pPr>
      <w:rPr>
        <w:rFonts w:ascii="Courier New" w:hAnsi="Courier New" w:cs="Courier New" w:hint="default"/>
      </w:rPr>
    </w:lvl>
    <w:lvl w:ilvl="8" w:tplc="041B0005" w:tentative="1">
      <w:start w:val="1"/>
      <w:numFmt w:val="bullet"/>
      <w:lvlText w:val=""/>
      <w:lvlJc w:val="left"/>
      <w:pPr>
        <w:tabs>
          <w:tab w:val="num" w:pos="6660"/>
        </w:tabs>
        <w:ind w:left="66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051"/>
    <w:rsid w:val="00091CE1"/>
    <w:rsid w:val="000F202F"/>
    <w:rsid w:val="00327746"/>
    <w:rsid w:val="00346A9B"/>
    <w:rsid w:val="007E6051"/>
    <w:rsid w:val="00930736"/>
    <w:rsid w:val="00D7150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E6051"/>
    <w:pPr>
      <w:spacing w:after="0" w:line="240" w:lineRule="auto"/>
    </w:pPr>
    <w:rPr>
      <w:rFonts w:eastAsia="Times New Roman"/>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7E6051"/>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7E6051"/>
    <w:pPr>
      <w:spacing w:after="200" w:line="276" w:lineRule="auto"/>
      <w:ind w:left="720"/>
      <w:contextualSpacing/>
    </w:pPr>
    <w:rPr>
      <w:rFonts w:asciiTheme="minorHAnsi" w:eastAsiaTheme="minorHAnsi" w:hAnsiTheme="minorHAnsi" w:cstheme="minorBidi"/>
      <w:sz w:val="22"/>
      <w:szCs w:val="22"/>
      <w:lang w:eastAsia="en-US"/>
    </w:rPr>
  </w:style>
  <w:style w:type="paragraph" w:styleId="Textbubliny">
    <w:name w:val="Balloon Text"/>
    <w:basedOn w:val="Normlny"/>
    <w:link w:val="TextbublinyChar"/>
    <w:uiPriority w:val="99"/>
    <w:semiHidden/>
    <w:unhideWhenUsed/>
    <w:rsid w:val="007E6051"/>
    <w:rPr>
      <w:rFonts w:ascii="Tahoma" w:hAnsi="Tahoma" w:cs="Tahoma"/>
      <w:sz w:val="16"/>
      <w:szCs w:val="16"/>
    </w:rPr>
  </w:style>
  <w:style w:type="character" w:customStyle="1" w:styleId="TextbublinyChar">
    <w:name w:val="Text bubliny Char"/>
    <w:basedOn w:val="Predvolenpsmoodseku"/>
    <w:link w:val="Textbubliny"/>
    <w:uiPriority w:val="99"/>
    <w:semiHidden/>
    <w:rsid w:val="007E6051"/>
    <w:rPr>
      <w:rFonts w:ascii="Tahoma" w:eastAsia="Times New Roman" w:hAnsi="Tahoma" w:cs="Tahoma"/>
      <w:sz w:val="16"/>
      <w:szCs w:val="16"/>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E6051"/>
    <w:pPr>
      <w:spacing w:after="0" w:line="240" w:lineRule="auto"/>
    </w:pPr>
    <w:rPr>
      <w:rFonts w:eastAsia="Times New Roman"/>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7E6051"/>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7E6051"/>
    <w:pPr>
      <w:spacing w:after="200" w:line="276" w:lineRule="auto"/>
      <w:ind w:left="720"/>
      <w:contextualSpacing/>
    </w:pPr>
    <w:rPr>
      <w:rFonts w:asciiTheme="minorHAnsi" w:eastAsiaTheme="minorHAnsi" w:hAnsiTheme="minorHAnsi" w:cstheme="minorBidi"/>
      <w:sz w:val="22"/>
      <w:szCs w:val="22"/>
      <w:lang w:eastAsia="en-US"/>
    </w:rPr>
  </w:style>
  <w:style w:type="paragraph" w:styleId="Textbubliny">
    <w:name w:val="Balloon Text"/>
    <w:basedOn w:val="Normlny"/>
    <w:link w:val="TextbublinyChar"/>
    <w:uiPriority w:val="99"/>
    <w:semiHidden/>
    <w:unhideWhenUsed/>
    <w:rsid w:val="007E6051"/>
    <w:rPr>
      <w:rFonts w:ascii="Tahoma" w:hAnsi="Tahoma" w:cs="Tahoma"/>
      <w:sz w:val="16"/>
      <w:szCs w:val="16"/>
    </w:rPr>
  </w:style>
  <w:style w:type="character" w:customStyle="1" w:styleId="TextbublinyChar">
    <w:name w:val="Text bubliny Char"/>
    <w:basedOn w:val="Predvolenpsmoodseku"/>
    <w:link w:val="Textbubliny"/>
    <w:uiPriority w:val="99"/>
    <w:semiHidden/>
    <w:rsid w:val="007E6051"/>
    <w:rPr>
      <w:rFonts w:ascii="Tahoma" w:eastAsia="Times New Roman" w:hAnsi="Tahoma" w:cs="Tahoma"/>
      <w:sz w:val="16"/>
      <w:szCs w:val="1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2315</Words>
  <Characters>13202</Characters>
  <Application>Microsoft Office Word</Application>
  <DocSecurity>0</DocSecurity>
  <Lines>110</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Viraghova Veronika</dc:creator>
  <cp:revision>3</cp:revision>
  <cp:lastPrinted>2018-02-07T08:49:00Z</cp:lastPrinted>
  <dcterms:created xsi:type="dcterms:W3CDTF">2018-02-06T06:58:00Z</dcterms:created>
  <dcterms:modified xsi:type="dcterms:W3CDTF">2018-02-07T09:10:00Z</dcterms:modified>
</cp:coreProperties>
</file>