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F43" w:rsidRPr="00870D7F" w:rsidRDefault="00252F43" w:rsidP="00252F43">
      <w:pPr>
        <w:spacing w:after="360"/>
        <w:jc w:val="center"/>
        <w:rPr>
          <w:b/>
          <w:bCs/>
          <w:sz w:val="28"/>
          <w:szCs w:val="28"/>
        </w:rPr>
      </w:pPr>
      <w:r w:rsidRPr="00870D7F">
        <w:rPr>
          <w:b/>
          <w:bCs/>
          <w:sz w:val="28"/>
          <w:szCs w:val="28"/>
        </w:rPr>
        <w:t>Doložka vybraných vplyvov</w:t>
      </w:r>
    </w:p>
    <w:tbl>
      <w:tblPr>
        <w:tblStyle w:val="Mriekatabuky"/>
        <w:tblW w:w="9360" w:type="dxa"/>
        <w:tblLayout w:type="fixed"/>
        <w:tblLook w:val="04A0" w:firstRow="1" w:lastRow="0" w:firstColumn="1" w:lastColumn="0" w:noHBand="0" w:noVBand="1"/>
      </w:tblPr>
      <w:tblGrid>
        <w:gridCol w:w="3512"/>
        <w:gridCol w:w="384"/>
        <w:gridCol w:w="141"/>
        <w:gridCol w:w="560"/>
        <w:gridCol w:w="1423"/>
        <w:gridCol w:w="168"/>
        <w:gridCol w:w="417"/>
        <w:gridCol w:w="1047"/>
        <w:gridCol w:w="50"/>
        <w:gridCol w:w="531"/>
        <w:gridCol w:w="1127"/>
      </w:tblGrid>
      <w:tr w:rsidR="00252F43" w:rsidRPr="00870D7F" w:rsidTr="00252F43">
        <w:tc>
          <w:tcPr>
            <w:tcW w:w="9363" w:type="dxa"/>
            <w:gridSpan w:val="11"/>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t>Základné údaje</w:t>
            </w:r>
          </w:p>
        </w:tc>
      </w:tr>
      <w:tr w:rsidR="00252F43" w:rsidRPr="00870D7F" w:rsidTr="00252F43">
        <w:tc>
          <w:tcPr>
            <w:tcW w:w="9363" w:type="dxa"/>
            <w:gridSpan w:val="11"/>
            <w:tcBorders>
              <w:top w:val="single" w:sz="4" w:space="0" w:color="auto"/>
              <w:left w:val="single" w:sz="4" w:space="0" w:color="auto"/>
              <w:bottom w:val="single" w:sz="4" w:space="0" w:color="FFFFFF" w:themeColor="background1"/>
              <w:right w:val="single" w:sz="4" w:space="0" w:color="auto"/>
            </w:tcBorders>
            <w:shd w:val="clear" w:color="auto" w:fill="E2E2E2"/>
            <w:vAlign w:val="center"/>
            <w:hideMark/>
          </w:tcPr>
          <w:p w:rsidR="00252F43" w:rsidRPr="00870D7F" w:rsidRDefault="00252F43">
            <w:pPr>
              <w:pStyle w:val="Odsekzoznamu"/>
              <w:ind w:left="142"/>
              <w:rPr>
                <w:rFonts w:ascii="Times New Roman" w:hAnsi="Times New Roman" w:cs="Times New Roman"/>
                <w:b/>
              </w:rPr>
            </w:pPr>
            <w:r w:rsidRPr="00870D7F">
              <w:rPr>
                <w:rFonts w:ascii="Times New Roman" w:hAnsi="Times New Roman" w:cs="Times New Roman"/>
                <w:b/>
              </w:rPr>
              <w:t>Názov materiálu</w:t>
            </w:r>
          </w:p>
        </w:tc>
      </w:tr>
      <w:tr w:rsidR="00252F43" w:rsidRPr="00870D7F" w:rsidTr="00252F43">
        <w:tc>
          <w:tcPr>
            <w:tcW w:w="9363" w:type="dxa"/>
            <w:gridSpan w:val="11"/>
            <w:tcBorders>
              <w:top w:val="single" w:sz="4" w:space="0" w:color="FFFFFF" w:themeColor="background1"/>
              <w:left w:val="single" w:sz="4" w:space="0" w:color="auto"/>
              <w:bottom w:val="single" w:sz="4" w:space="0" w:color="auto"/>
              <w:right w:val="single" w:sz="4" w:space="0" w:color="auto"/>
            </w:tcBorders>
            <w:vAlign w:val="center"/>
          </w:tcPr>
          <w:p w:rsidR="00252F43" w:rsidRPr="00870D7F" w:rsidRDefault="00252F43">
            <w:pPr>
              <w:rPr>
                <w:lang w:eastAsia="en-US"/>
              </w:rPr>
            </w:pPr>
            <w:r w:rsidRPr="00870D7F">
              <w:rPr>
                <w:lang w:eastAsia="en-US"/>
              </w:rPr>
              <w:t>Návrh zákona o kybernetickej bezpečnosti</w:t>
            </w:r>
            <w:r w:rsidR="00BB127E" w:rsidRPr="00870D7F">
              <w:rPr>
                <w:lang w:eastAsia="en-US"/>
              </w:rPr>
              <w:t xml:space="preserve"> a o zmene a doplnení niektorých zákonov</w:t>
            </w:r>
          </w:p>
          <w:p w:rsidR="00252F43" w:rsidRPr="00870D7F" w:rsidRDefault="00252F43">
            <w:pPr>
              <w:rPr>
                <w:lang w:eastAsia="en-US"/>
              </w:rPr>
            </w:pPr>
          </w:p>
        </w:tc>
      </w:tr>
      <w:tr w:rsidR="00252F43" w:rsidRPr="00870D7F" w:rsidTr="00252F43">
        <w:tc>
          <w:tcPr>
            <w:tcW w:w="9363" w:type="dxa"/>
            <w:gridSpan w:val="11"/>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pPr>
              <w:pStyle w:val="Odsekzoznamu"/>
              <w:ind w:left="142"/>
              <w:rPr>
                <w:rFonts w:ascii="Times New Roman" w:hAnsi="Times New Roman" w:cs="Times New Roman"/>
                <w:b/>
              </w:rPr>
            </w:pPr>
            <w:r w:rsidRPr="00870D7F">
              <w:rPr>
                <w:rFonts w:ascii="Times New Roman" w:hAnsi="Times New Roman" w:cs="Times New Roman"/>
                <w:b/>
              </w:rPr>
              <w:t>Predkladateľ (a spolupredkladateľ)</w:t>
            </w:r>
          </w:p>
        </w:tc>
      </w:tr>
      <w:tr w:rsidR="00252F43" w:rsidRPr="00870D7F" w:rsidTr="00252F43">
        <w:tc>
          <w:tcPr>
            <w:tcW w:w="9363" w:type="dxa"/>
            <w:gridSpan w:val="11"/>
            <w:tcBorders>
              <w:top w:val="single" w:sz="4" w:space="0" w:color="FFFFFF" w:themeColor="background1"/>
              <w:left w:val="single" w:sz="4" w:space="0" w:color="auto"/>
              <w:bottom w:val="single" w:sz="4" w:space="0" w:color="auto"/>
              <w:right w:val="single" w:sz="4" w:space="0" w:color="auto"/>
            </w:tcBorders>
            <w:shd w:val="clear" w:color="auto" w:fill="FFFFFF" w:themeFill="background1"/>
            <w:vAlign w:val="center"/>
          </w:tcPr>
          <w:p w:rsidR="00252F43" w:rsidRPr="00870D7F" w:rsidRDefault="00D006C2">
            <w:pPr>
              <w:rPr>
                <w:lang w:eastAsia="en-US"/>
              </w:rPr>
            </w:pPr>
            <w:r>
              <w:rPr>
                <w:lang w:eastAsia="en-US"/>
              </w:rPr>
              <w:t xml:space="preserve">Ing. </w:t>
            </w:r>
            <w:r w:rsidR="00252F43" w:rsidRPr="00870D7F">
              <w:rPr>
                <w:lang w:eastAsia="en-US"/>
              </w:rPr>
              <w:t>Jozef Magala – riaditeľ Národného bezpečnostného úradu</w:t>
            </w:r>
          </w:p>
          <w:p w:rsidR="00252F43" w:rsidRPr="00870D7F" w:rsidRDefault="00252F43">
            <w:pPr>
              <w:rPr>
                <w:lang w:eastAsia="en-US"/>
              </w:rPr>
            </w:pPr>
          </w:p>
        </w:tc>
      </w:tr>
      <w:tr w:rsidR="00252F43" w:rsidRPr="00870D7F" w:rsidTr="00252F43">
        <w:tc>
          <w:tcPr>
            <w:tcW w:w="3898" w:type="dxa"/>
            <w:gridSpan w:val="2"/>
            <w:vMerge w:val="restart"/>
            <w:tcBorders>
              <w:top w:val="single" w:sz="4" w:space="0" w:color="auto"/>
              <w:left w:val="single" w:sz="4" w:space="0" w:color="auto"/>
              <w:bottom w:val="single" w:sz="4" w:space="0" w:color="auto"/>
              <w:right w:val="single" w:sz="4" w:space="0" w:color="auto"/>
            </w:tcBorders>
            <w:shd w:val="clear" w:color="auto" w:fill="E2E2E2"/>
            <w:vAlign w:val="center"/>
            <w:hideMark/>
          </w:tcPr>
          <w:p w:rsidR="00252F43" w:rsidRPr="00870D7F" w:rsidRDefault="00252F43">
            <w:pPr>
              <w:pStyle w:val="Odsekzoznamu"/>
              <w:ind w:left="142"/>
              <w:rPr>
                <w:rFonts w:ascii="Times New Roman" w:hAnsi="Times New Roman" w:cs="Times New Roman"/>
                <w:b/>
              </w:rPr>
            </w:pPr>
            <w:r w:rsidRPr="00870D7F">
              <w:rPr>
                <w:rFonts w:ascii="Times New Roman" w:hAnsi="Times New Roman" w:cs="Times New Roman"/>
                <w:b/>
              </w:rPr>
              <w:t>Charakter predkladaného materiálu</w:t>
            </w:r>
          </w:p>
        </w:tc>
        <w:tc>
          <w:tcPr>
            <w:tcW w:w="701" w:type="dxa"/>
            <w:gridSpan w:val="2"/>
            <w:tcBorders>
              <w:top w:val="single" w:sz="4" w:space="0" w:color="auto"/>
              <w:left w:val="single" w:sz="4" w:space="0" w:color="auto"/>
              <w:bottom w:val="single" w:sz="4" w:space="0" w:color="auto"/>
              <w:right w:val="nil"/>
            </w:tcBorders>
            <w:shd w:val="clear" w:color="auto" w:fill="FFFFFF" w:themeFill="background1"/>
            <w:hideMark/>
          </w:tcPr>
          <w:p w:rsidR="00252F43" w:rsidRPr="00870D7F" w:rsidRDefault="00252F43">
            <w:pPr>
              <w:jc w:val="center"/>
              <w:rPr>
                <w:lang w:eastAsia="en-US"/>
              </w:rPr>
            </w:pPr>
            <w:r w:rsidRPr="00870D7F">
              <w:rPr>
                <w:rFonts w:ascii="Segoe UI Symbol" w:eastAsia="MS Mincho" w:hAnsi="Segoe UI Symbol" w:cs="Segoe UI Symbol"/>
                <w:lang w:eastAsia="en-US"/>
              </w:rPr>
              <w:t>☐</w:t>
            </w:r>
          </w:p>
        </w:tc>
        <w:tc>
          <w:tcPr>
            <w:tcW w:w="4764" w:type="dxa"/>
            <w:gridSpan w:val="7"/>
            <w:tcBorders>
              <w:top w:val="single" w:sz="4" w:space="0" w:color="auto"/>
              <w:left w:val="nil"/>
              <w:bottom w:val="single" w:sz="4" w:space="0" w:color="auto"/>
              <w:right w:val="single" w:sz="4" w:space="0" w:color="auto"/>
            </w:tcBorders>
            <w:shd w:val="clear" w:color="auto" w:fill="FFFFFF" w:themeFill="background1"/>
            <w:hideMark/>
          </w:tcPr>
          <w:p w:rsidR="00252F43" w:rsidRPr="00870D7F" w:rsidRDefault="00252F43">
            <w:pPr>
              <w:rPr>
                <w:lang w:eastAsia="en-US"/>
              </w:rPr>
            </w:pPr>
            <w:r w:rsidRPr="00870D7F">
              <w:rPr>
                <w:lang w:eastAsia="en-US"/>
              </w:rPr>
              <w:t>Materiál nelegislatívnej povahy</w:t>
            </w:r>
          </w:p>
        </w:tc>
      </w:tr>
      <w:tr w:rsidR="00252F43" w:rsidRPr="00870D7F" w:rsidTr="00252F43">
        <w:tc>
          <w:tcPr>
            <w:tcW w:w="9888" w:type="dxa"/>
            <w:gridSpan w:val="2"/>
            <w:vMerge/>
            <w:tcBorders>
              <w:top w:val="single" w:sz="4" w:space="0" w:color="auto"/>
              <w:left w:val="single" w:sz="4" w:space="0" w:color="auto"/>
              <w:bottom w:val="single" w:sz="4" w:space="0" w:color="auto"/>
              <w:right w:val="single" w:sz="4" w:space="0" w:color="auto"/>
            </w:tcBorders>
            <w:vAlign w:val="center"/>
            <w:hideMark/>
          </w:tcPr>
          <w:p w:rsidR="00252F43" w:rsidRPr="00870D7F" w:rsidRDefault="00252F43">
            <w:pPr>
              <w:rPr>
                <w:b/>
                <w:sz w:val="22"/>
                <w:szCs w:val="22"/>
                <w:lang w:eastAsia="en-US"/>
              </w:rPr>
            </w:pPr>
          </w:p>
        </w:tc>
        <w:tc>
          <w:tcPr>
            <w:tcW w:w="701" w:type="dxa"/>
            <w:gridSpan w:val="2"/>
            <w:tcBorders>
              <w:top w:val="single" w:sz="4" w:space="0" w:color="auto"/>
              <w:left w:val="single" w:sz="4" w:space="0" w:color="auto"/>
              <w:bottom w:val="single" w:sz="4" w:space="0" w:color="auto"/>
              <w:right w:val="nil"/>
            </w:tcBorders>
            <w:shd w:val="clear" w:color="auto" w:fill="FFFFFF" w:themeFill="background1"/>
            <w:hideMark/>
          </w:tcPr>
          <w:p w:rsidR="00252F43" w:rsidRPr="00870D7F" w:rsidRDefault="00252F43">
            <w:pPr>
              <w:jc w:val="center"/>
              <w:rPr>
                <w:lang w:eastAsia="en-US"/>
              </w:rPr>
            </w:pPr>
            <w:r w:rsidRPr="00870D7F">
              <w:rPr>
                <w:rFonts w:eastAsia="MS Mincho"/>
                <w:b/>
                <w:lang w:eastAsia="en-US"/>
              </w:rPr>
              <w:t>X</w:t>
            </w:r>
          </w:p>
        </w:tc>
        <w:tc>
          <w:tcPr>
            <w:tcW w:w="4764" w:type="dxa"/>
            <w:gridSpan w:val="7"/>
            <w:tcBorders>
              <w:top w:val="single" w:sz="4" w:space="0" w:color="auto"/>
              <w:left w:val="nil"/>
              <w:bottom w:val="single" w:sz="4" w:space="0" w:color="auto"/>
              <w:right w:val="single" w:sz="4" w:space="0" w:color="auto"/>
            </w:tcBorders>
            <w:shd w:val="clear" w:color="auto" w:fill="FFFFFF" w:themeFill="background1"/>
            <w:hideMark/>
          </w:tcPr>
          <w:p w:rsidR="00252F43" w:rsidRPr="00870D7F" w:rsidRDefault="00252F43">
            <w:pPr>
              <w:ind w:left="175" w:hanging="175"/>
              <w:rPr>
                <w:lang w:eastAsia="en-US"/>
              </w:rPr>
            </w:pPr>
            <w:r w:rsidRPr="00870D7F">
              <w:rPr>
                <w:lang w:eastAsia="en-US"/>
              </w:rPr>
              <w:t>Materiál legislatívnej povahy</w:t>
            </w:r>
          </w:p>
        </w:tc>
      </w:tr>
      <w:tr w:rsidR="00252F43" w:rsidRPr="00870D7F" w:rsidTr="00252F43">
        <w:tc>
          <w:tcPr>
            <w:tcW w:w="9888" w:type="dxa"/>
            <w:gridSpan w:val="2"/>
            <w:vMerge/>
            <w:tcBorders>
              <w:top w:val="single" w:sz="4" w:space="0" w:color="auto"/>
              <w:left w:val="single" w:sz="4" w:space="0" w:color="auto"/>
              <w:bottom w:val="single" w:sz="4" w:space="0" w:color="auto"/>
              <w:right w:val="single" w:sz="4" w:space="0" w:color="auto"/>
            </w:tcBorders>
            <w:vAlign w:val="center"/>
            <w:hideMark/>
          </w:tcPr>
          <w:p w:rsidR="00252F43" w:rsidRPr="00870D7F" w:rsidRDefault="00252F43">
            <w:pPr>
              <w:rPr>
                <w:b/>
                <w:sz w:val="22"/>
                <w:szCs w:val="22"/>
                <w:lang w:eastAsia="en-US"/>
              </w:rPr>
            </w:pPr>
          </w:p>
        </w:tc>
        <w:tc>
          <w:tcPr>
            <w:tcW w:w="701" w:type="dxa"/>
            <w:gridSpan w:val="2"/>
            <w:tcBorders>
              <w:top w:val="single" w:sz="4" w:space="0" w:color="auto"/>
              <w:left w:val="single" w:sz="4" w:space="0" w:color="auto"/>
              <w:bottom w:val="single" w:sz="4" w:space="0" w:color="auto"/>
              <w:right w:val="nil"/>
            </w:tcBorders>
            <w:shd w:val="clear" w:color="auto" w:fill="FFFFFF" w:themeFill="background1"/>
            <w:hideMark/>
          </w:tcPr>
          <w:p w:rsidR="00252F43" w:rsidRPr="00870D7F" w:rsidRDefault="00B31135">
            <w:pPr>
              <w:jc w:val="center"/>
              <w:rPr>
                <w:b/>
                <w:lang w:eastAsia="en-US"/>
              </w:rPr>
            </w:pPr>
            <w:r w:rsidRPr="00870D7F">
              <w:rPr>
                <w:rFonts w:eastAsia="MS Mincho"/>
                <w:b/>
                <w:lang w:eastAsia="en-US"/>
              </w:rPr>
              <w:t>X</w:t>
            </w:r>
          </w:p>
        </w:tc>
        <w:tc>
          <w:tcPr>
            <w:tcW w:w="4764" w:type="dxa"/>
            <w:gridSpan w:val="7"/>
            <w:tcBorders>
              <w:top w:val="single" w:sz="4" w:space="0" w:color="auto"/>
              <w:left w:val="nil"/>
              <w:bottom w:val="single" w:sz="4" w:space="0" w:color="auto"/>
              <w:right w:val="single" w:sz="4" w:space="0" w:color="auto"/>
            </w:tcBorders>
            <w:shd w:val="clear" w:color="auto" w:fill="FFFFFF" w:themeFill="background1"/>
            <w:hideMark/>
          </w:tcPr>
          <w:p w:rsidR="00252F43" w:rsidRPr="00870D7F" w:rsidRDefault="00252F43">
            <w:pPr>
              <w:rPr>
                <w:lang w:eastAsia="en-US"/>
              </w:rPr>
            </w:pPr>
            <w:r w:rsidRPr="00870D7F">
              <w:rPr>
                <w:lang w:eastAsia="en-US"/>
              </w:rPr>
              <w:t>Transpozícia práva EÚ</w:t>
            </w:r>
          </w:p>
        </w:tc>
      </w:tr>
      <w:tr w:rsidR="00252F43" w:rsidRPr="00870D7F" w:rsidTr="00252F43">
        <w:tc>
          <w:tcPr>
            <w:tcW w:w="9363" w:type="dxa"/>
            <w:gridSpan w:val="11"/>
            <w:tcBorders>
              <w:top w:val="single" w:sz="4" w:space="0" w:color="auto"/>
              <w:left w:val="single" w:sz="4" w:space="0" w:color="auto"/>
              <w:bottom w:val="single" w:sz="4" w:space="0" w:color="FFFFFF" w:themeColor="background1"/>
              <w:right w:val="single" w:sz="4" w:space="0" w:color="auto"/>
            </w:tcBorders>
            <w:shd w:val="clear" w:color="auto" w:fill="FFFFFF" w:themeFill="background1"/>
          </w:tcPr>
          <w:p w:rsidR="00252F43" w:rsidRPr="00870D7F" w:rsidRDefault="00252F43">
            <w:pPr>
              <w:rPr>
                <w:i/>
                <w:lang w:eastAsia="en-US"/>
              </w:rPr>
            </w:pPr>
            <w:r w:rsidRPr="00870D7F">
              <w:rPr>
                <w:i/>
                <w:lang w:eastAsia="en-US"/>
              </w:rPr>
              <w:t>V prípade transpozície uveďte zoznam transponovaných predpisov:</w:t>
            </w:r>
          </w:p>
          <w:p w:rsidR="00252F43" w:rsidRPr="00870D7F" w:rsidRDefault="00252F43">
            <w:pPr>
              <w:rPr>
                <w:lang w:eastAsia="en-US"/>
              </w:rPr>
            </w:pPr>
          </w:p>
          <w:p w:rsidR="00252F43" w:rsidRPr="00870D7F" w:rsidRDefault="00252F43">
            <w:pPr>
              <w:rPr>
                <w:lang w:eastAsia="en-US"/>
              </w:rPr>
            </w:pPr>
            <w:r w:rsidRPr="00870D7F">
              <w:rPr>
                <w:lang w:eastAsia="en-US"/>
              </w:rPr>
              <w:t>Smernica Európskeho parlamentu a Rady (EÚ) 2016/1148 zo 6.  júla 2016 o opatreniach na zabezpečenie vysokej spoločnej úrovne bezpečnosti sietí a informačných systémov v Únii.</w:t>
            </w:r>
          </w:p>
          <w:p w:rsidR="00252F43" w:rsidRPr="00870D7F" w:rsidRDefault="00252F43">
            <w:pPr>
              <w:rPr>
                <w:lang w:eastAsia="en-US"/>
              </w:rPr>
            </w:pPr>
          </w:p>
        </w:tc>
      </w:tr>
      <w:tr w:rsidR="00252F43" w:rsidRPr="00870D7F" w:rsidTr="00252F43">
        <w:tc>
          <w:tcPr>
            <w:tcW w:w="6191" w:type="dxa"/>
            <w:gridSpan w:val="6"/>
            <w:tcBorders>
              <w:top w:val="single" w:sz="4" w:space="0" w:color="000000" w:themeColor="text1"/>
              <w:left w:val="single" w:sz="4" w:space="0" w:color="auto"/>
              <w:bottom w:val="single" w:sz="4" w:space="0" w:color="FFFFFF" w:themeColor="background1"/>
              <w:right w:val="single" w:sz="4" w:space="0" w:color="auto"/>
            </w:tcBorders>
            <w:shd w:val="clear" w:color="auto" w:fill="E2E2E2"/>
            <w:hideMark/>
          </w:tcPr>
          <w:p w:rsidR="00252F43" w:rsidRPr="00870D7F" w:rsidRDefault="00252F43">
            <w:pPr>
              <w:pStyle w:val="Odsekzoznamu"/>
              <w:ind w:left="142"/>
              <w:rPr>
                <w:rFonts w:ascii="Times New Roman" w:hAnsi="Times New Roman" w:cs="Times New Roman"/>
                <w:b/>
              </w:rPr>
            </w:pPr>
            <w:r w:rsidRPr="00870D7F">
              <w:rPr>
                <w:rFonts w:ascii="Times New Roman" w:hAnsi="Times New Roman" w:cs="Times New Roman"/>
                <w:b/>
              </w:rPr>
              <w:t>Termín začiatku a ukončenia PPK</w:t>
            </w:r>
          </w:p>
        </w:tc>
        <w:tc>
          <w:tcPr>
            <w:tcW w:w="3172" w:type="dxa"/>
            <w:gridSpan w:val="5"/>
            <w:tcBorders>
              <w:top w:val="single" w:sz="4" w:space="0" w:color="000000" w:themeColor="text1"/>
              <w:left w:val="single" w:sz="4" w:space="0" w:color="auto"/>
              <w:bottom w:val="single" w:sz="4" w:space="0" w:color="auto"/>
              <w:right w:val="single" w:sz="4" w:space="0" w:color="auto"/>
            </w:tcBorders>
          </w:tcPr>
          <w:p w:rsidR="00252F43" w:rsidRPr="00870D7F" w:rsidRDefault="002800A2">
            <w:pPr>
              <w:rPr>
                <w:lang w:eastAsia="en-US"/>
              </w:rPr>
            </w:pPr>
            <w:r w:rsidRPr="00870D7F">
              <w:rPr>
                <w:lang w:eastAsia="en-US"/>
              </w:rPr>
              <w:t>12.5.2017 – 19.5.2017</w:t>
            </w:r>
          </w:p>
        </w:tc>
      </w:tr>
      <w:tr w:rsidR="00252F43" w:rsidRPr="00870D7F" w:rsidTr="00252F43">
        <w:tc>
          <w:tcPr>
            <w:tcW w:w="6191" w:type="dxa"/>
            <w:gridSpan w:val="6"/>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pPr>
              <w:pStyle w:val="Odsekzoznamu"/>
              <w:ind w:left="142"/>
              <w:rPr>
                <w:rFonts w:ascii="Times New Roman" w:hAnsi="Times New Roman" w:cs="Times New Roman"/>
                <w:b/>
              </w:rPr>
            </w:pPr>
            <w:r w:rsidRPr="00870D7F">
              <w:rPr>
                <w:rFonts w:ascii="Times New Roman" w:hAnsi="Times New Roman" w:cs="Times New Roman"/>
                <w:b/>
              </w:rPr>
              <w:t>Predpokladaný termín predloženia na MPK*</w:t>
            </w:r>
          </w:p>
        </w:tc>
        <w:tc>
          <w:tcPr>
            <w:tcW w:w="3172" w:type="dxa"/>
            <w:gridSpan w:val="5"/>
            <w:tcBorders>
              <w:top w:val="single" w:sz="4" w:space="0" w:color="auto"/>
              <w:left w:val="single" w:sz="4" w:space="0" w:color="auto"/>
              <w:bottom w:val="single" w:sz="4" w:space="0" w:color="auto"/>
              <w:right w:val="single" w:sz="4" w:space="0" w:color="auto"/>
            </w:tcBorders>
            <w:hideMark/>
          </w:tcPr>
          <w:p w:rsidR="00252F43" w:rsidRPr="00870D7F" w:rsidRDefault="007D499A" w:rsidP="007D499A">
            <w:pPr>
              <w:rPr>
                <w:lang w:eastAsia="en-US"/>
              </w:rPr>
            </w:pPr>
            <w:r w:rsidRPr="00870D7F">
              <w:rPr>
                <w:lang w:eastAsia="en-US"/>
              </w:rPr>
              <w:t>26</w:t>
            </w:r>
            <w:r w:rsidR="00252F43" w:rsidRPr="00870D7F">
              <w:rPr>
                <w:lang w:eastAsia="en-US"/>
              </w:rPr>
              <w:t xml:space="preserve">.5.2017 – </w:t>
            </w:r>
            <w:r w:rsidRPr="00870D7F">
              <w:rPr>
                <w:lang w:eastAsia="en-US"/>
              </w:rPr>
              <w:t>15</w:t>
            </w:r>
            <w:r w:rsidR="00252F43" w:rsidRPr="00870D7F">
              <w:rPr>
                <w:lang w:eastAsia="en-US"/>
              </w:rPr>
              <w:t>.6.2017</w:t>
            </w:r>
          </w:p>
        </w:tc>
      </w:tr>
      <w:tr w:rsidR="00252F43" w:rsidRPr="00870D7F" w:rsidTr="00252F43">
        <w:tc>
          <w:tcPr>
            <w:tcW w:w="6191" w:type="dxa"/>
            <w:gridSpan w:val="6"/>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pPr>
              <w:pStyle w:val="Odsekzoznamu"/>
              <w:ind w:left="142"/>
              <w:rPr>
                <w:rFonts w:ascii="Times New Roman" w:hAnsi="Times New Roman" w:cs="Times New Roman"/>
                <w:b/>
              </w:rPr>
            </w:pPr>
            <w:r w:rsidRPr="00870D7F">
              <w:rPr>
                <w:rFonts w:ascii="Times New Roman" w:hAnsi="Times New Roman" w:cs="Times New Roman"/>
                <w:b/>
              </w:rPr>
              <w:t>Predpokladaný termín predloženia na Rokovanie vlády SR*</w:t>
            </w:r>
          </w:p>
        </w:tc>
        <w:tc>
          <w:tcPr>
            <w:tcW w:w="3172" w:type="dxa"/>
            <w:gridSpan w:val="5"/>
            <w:tcBorders>
              <w:top w:val="single" w:sz="4" w:space="0" w:color="auto"/>
              <w:left w:val="single" w:sz="4" w:space="0" w:color="auto"/>
              <w:bottom w:val="single" w:sz="4" w:space="0" w:color="auto"/>
              <w:right w:val="single" w:sz="4" w:space="0" w:color="auto"/>
            </w:tcBorders>
            <w:hideMark/>
          </w:tcPr>
          <w:p w:rsidR="00252F43" w:rsidRPr="00870D7F" w:rsidRDefault="00FB57D9">
            <w:pPr>
              <w:rPr>
                <w:lang w:eastAsia="en-US"/>
              </w:rPr>
            </w:pPr>
            <w:r>
              <w:rPr>
                <w:lang w:eastAsia="en-US"/>
              </w:rPr>
              <w:t>01.11</w:t>
            </w:r>
            <w:r w:rsidR="00252F43" w:rsidRPr="00870D7F">
              <w:rPr>
                <w:lang w:eastAsia="en-US"/>
              </w:rPr>
              <w:t>.2017</w:t>
            </w:r>
          </w:p>
        </w:tc>
      </w:tr>
      <w:tr w:rsidR="00252F43" w:rsidRPr="00870D7F" w:rsidTr="00252F43">
        <w:tc>
          <w:tcPr>
            <w:tcW w:w="9363" w:type="dxa"/>
            <w:gridSpan w:val="11"/>
            <w:tcBorders>
              <w:top w:val="single" w:sz="4" w:space="0" w:color="auto"/>
              <w:left w:val="nil"/>
              <w:bottom w:val="single" w:sz="4" w:space="0" w:color="auto"/>
              <w:right w:val="nil"/>
            </w:tcBorders>
            <w:shd w:val="clear" w:color="auto" w:fill="FFFFFF" w:themeFill="background1"/>
          </w:tcPr>
          <w:p w:rsidR="00252F43" w:rsidRPr="00870D7F" w:rsidRDefault="00252F43">
            <w:pPr>
              <w:rPr>
                <w:lang w:eastAsia="en-US"/>
              </w:rPr>
            </w:pPr>
          </w:p>
        </w:tc>
      </w:tr>
      <w:tr w:rsidR="00252F43" w:rsidRPr="00870D7F" w:rsidTr="00252F43">
        <w:tc>
          <w:tcPr>
            <w:tcW w:w="9363" w:type="dxa"/>
            <w:gridSpan w:val="11"/>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t>Definícia problému</w:t>
            </w:r>
          </w:p>
        </w:tc>
      </w:tr>
      <w:tr w:rsidR="00252F43" w:rsidRPr="00870D7F" w:rsidTr="00252F43">
        <w:trPr>
          <w:trHeight w:val="718"/>
        </w:trPr>
        <w:tc>
          <w:tcPr>
            <w:tcW w:w="9363" w:type="dxa"/>
            <w:gridSpan w:val="11"/>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252F43" w:rsidRPr="00870D7F" w:rsidRDefault="00252F43">
            <w:pPr>
              <w:jc w:val="both"/>
              <w:rPr>
                <w:i/>
                <w:lang w:eastAsia="en-US"/>
              </w:rPr>
            </w:pPr>
            <w:r w:rsidRPr="00870D7F">
              <w:rPr>
                <w:i/>
                <w:lang w:eastAsia="en-US"/>
              </w:rPr>
              <w:t>Uveďte základné problémy, na ktoré navrhovaná regulácia reaguje.</w:t>
            </w:r>
          </w:p>
          <w:p w:rsidR="00FC73F6" w:rsidRPr="00386BDF" w:rsidRDefault="00386BDF" w:rsidP="00FC73F6">
            <w:pPr>
              <w:pStyle w:val="Normlnywebov"/>
              <w:jc w:val="both"/>
              <w:rPr>
                <w:sz w:val="20"/>
                <w:szCs w:val="20"/>
              </w:rPr>
            </w:pPr>
            <w:r>
              <w:rPr>
                <w:sz w:val="20"/>
                <w:szCs w:val="20"/>
              </w:rPr>
              <w:t xml:space="preserve">     </w:t>
            </w:r>
            <w:r w:rsidR="00FC73F6" w:rsidRPr="00386BDF">
              <w:rPr>
                <w:sz w:val="20"/>
                <w:szCs w:val="20"/>
              </w:rPr>
              <w:t>Národný bezpečnostný úrad, ako ústredný organ štátnej správy pre kybernetickú bezpečnosť, pripravil na základe schváleného programového vyhlásenia vlády Slovenskej republiky na roky 2016-2020 a v súlade so schválenou Koncepciou kybernetickej bezpečnosti Slovenskej republiky na roky 2015-2020 a Akčným plánom realizácie Koncepcie kybernetickej bezpečnosti Slovenskej republiky na roky 2015-2020 návrh zákona o kybernetickej bezpečnosti a o zmene a doplnení niektorých zákonov (ďalej len „návrh zákona“), ktorým do národného právneho poriadku transponuje smernicu Európskeho parlamentu a rady (EÚ) 2016/1148 zo 6. júla 2016 o opatreniach na zabezpečenie vysokej spoločnej úrovne bezpečnosti sietí a informačných systémov v Únii (ďalej len „smernica NIS“).</w:t>
            </w:r>
            <w:r w:rsidRPr="00386BDF">
              <w:rPr>
                <w:sz w:val="20"/>
                <w:szCs w:val="20"/>
              </w:rPr>
              <w:t xml:space="preserve"> </w:t>
            </w:r>
            <w:r w:rsidR="00FC73F6" w:rsidRPr="00386BDF">
              <w:rPr>
                <w:sz w:val="20"/>
                <w:szCs w:val="20"/>
              </w:rPr>
              <w:t>Smernica NIS predstavuje prvú celoeurópsku legislatívnu úpravu v oblasti kybernetickej bezpečnosti, ktorá sa  zameriava  na  posilnenie  právomocí  príslušných  vnútroštátnych  orgánov,  zvyšuje  ich  vzájomnú koordináciu a predstavuje bezpečnostné podmienky pre kľúčové sektory.</w:t>
            </w:r>
            <w:r w:rsidRPr="00386BDF">
              <w:rPr>
                <w:sz w:val="20"/>
                <w:szCs w:val="20"/>
              </w:rPr>
              <w:t xml:space="preserve"> </w:t>
            </w:r>
            <w:r w:rsidR="00FC73F6" w:rsidRPr="00386BDF">
              <w:rPr>
                <w:sz w:val="20"/>
                <w:szCs w:val="20"/>
              </w:rPr>
              <w:t>Cieľom smernice NIS je zaručiť spoločnú bezpečnosť sietí a informačných systém v rámci Európskej únie, čo znamená zvýšenie bezpečnosti internetu a súkromných sietí a informačných systémov, na ktorých je do značnej miery postavené fungovanie hospodárskych a spoločenských záujmov.</w:t>
            </w:r>
          </w:p>
          <w:p w:rsidR="00386BDF" w:rsidRPr="00386BDF" w:rsidRDefault="00386BDF" w:rsidP="00386BDF">
            <w:pPr>
              <w:jc w:val="both"/>
              <w:rPr>
                <w:lang w:eastAsia="en-US"/>
              </w:rPr>
            </w:pPr>
            <w:r>
              <w:rPr>
                <w:lang w:eastAsia="en-US"/>
              </w:rPr>
              <w:t xml:space="preserve">     </w:t>
            </w:r>
            <w:r w:rsidR="00252F43" w:rsidRPr="00386BDF">
              <w:rPr>
                <w:lang w:eastAsia="en-US"/>
              </w:rPr>
              <w:t>Priorita kybernetickej bezpečnosti je zdôraznená</w:t>
            </w:r>
            <w:r w:rsidRPr="00386BDF">
              <w:rPr>
                <w:lang w:eastAsia="en-US"/>
              </w:rPr>
              <w:t xml:space="preserve"> aj</w:t>
            </w:r>
            <w:r w:rsidR="00252F43" w:rsidRPr="00386BDF">
              <w:rPr>
                <w:lang w:eastAsia="en-US"/>
              </w:rPr>
              <w:t xml:space="preserve"> vo viacerých koncepčných a strategických dokumentoch EÚ a NATO, ako aj v dokumentoch ďalších významných organizácií po celom svete, kde sa narušenie kybernetického priestoru chápe ako jedna z kľúčových hrozieb súčasnosti. Z tohto dôvodu pokrokové vlády štátov pristupujú k zavedeniu účinných opatrení zameraných  na budovanie a posilňovanie kybernetických spôsobilostí s cieľom predchádzať, zaznamenávať, brániť sa a zotavovať sa z pr</w:t>
            </w:r>
            <w:r w:rsidRPr="00386BDF">
              <w:rPr>
                <w:lang w:eastAsia="en-US"/>
              </w:rPr>
              <w:t>ípadných kybernetických útokov.</w:t>
            </w:r>
          </w:p>
          <w:p w:rsidR="00386BDF" w:rsidRPr="00386BDF" w:rsidRDefault="00386BDF" w:rsidP="00386BDF">
            <w:pPr>
              <w:rPr>
                <w:lang w:eastAsia="en-US"/>
              </w:rPr>
            </w:pPr>
          </w:p>
          <w:p w:rsidR="00252F43" w:rsidRDefault="00386BDF" w:rsidP="00386BDF">
            <w:pPr>
              <w:jc w:val="both"/>
              <w:rPr>
                <w:lang w:eastAsia="en-US"/>
              </w:rPr>
            </w:pPr>
            <w:r>
              <w:rPr>
                <w:lang w:eastAsia="en-US"/>
              </w:rPr>
              <w:t xml:space="preserve">     </w:t>
            </w:r>
            <w:r w:rsidR="00252F43" w:rsidRPr="00386BDF">
              <w:rPr>
                <w:lang w:eastAsia="en-US"/>
              </w:rPr>
              <w:t xml:space="preserve">Predkladaný návrh </w:t>
            </w:r>
            <w:r w:rsidR="00FC73F6" w:rsidRPr="00386BDF">
              <w:rPr>
                <w:lang w:eastAsia="en-US"/>
              </w:rPr>
              <w:t xml:space="preserve">zákona </w:t>
            </w:r>
            <w:r w:rsidR="00252F43" w:rsidRPr="00386BDF">
              <w:rPr>
                <w:lang w:eastAsia="en-US"/>
              </w:rPr>
              <w:t>vychádza zo súčasného stavu v Slovenskej republike, kde sa kybernetická bezpečnosť riadi viacerými právnymi predpismi. Vzhľadom na ich vzájomnú nesúladnosť je úroveň ochrany rôznorodá a nekompatibilná, v dôsledku čoho nedosahuje požadovanú úroveň vyspelých členských štátov EÚ. Výsledkom je nezabezpečenie primeranej úrovne kybernetickej bezpečnosti pred existujúcimi hrozbami, čo má za následok nenahraditeľné straty a narušenie dôveryhodnosti organizácií a štátu. Cieľom kybernetickej bezpečnosti je preto minimalizovať možnosti uplatnenia takýchto hrozieb a v prípade vzniknutých následkov minimalizovať ich vplyv, čo je nevyhnutnou podmienkou tak pre verejnú správu a súkromnú sféru.</w:t>
            </w:r>
          </w:p>
          <w:p w:rsidR="00386BDF" w:rsidRPr="00386BDF" w:rsidRDefault="00386BDF" w:rsidP="00386BDF">
            <w:pPr>
              <w:jc w:val="both"/>
              <w:rPr>
                <w:lang w:eastAsia="en-US"/>
              </w:rPr>
            </w:pPr>
          </w:p>
          <w:p w:rsidR="00252F43" w:rsidRPr="00870D7F" w:rsidRDefault="00252F43">
            <w:pPr>
              <w:jc w:val="both"/>
              <w:rPr>
                <w:lang w:eastAsia="en-US"/>
              </w:rPr>
            </w:pPr>
          </w:p>
        </w:tc>
      </w:tr>
      <w:tr w:rsidR="00252F43" w:rsidRPr="00870D7F" w:rsidTr="00870D7F">
        <w:tc>
          <w:tcPr>
            <w:tcW w:w="9363" w:type="dxa"/>
            <w:gridSpan w:val="11"/>
            <w:tcBorders>
              <w:top w:val="single" w:sz="4" w:space="0" w:color="auto"/>
              <w:left w:val="single" w:sz="4" w:space="0" w:color="auto"/>
              <w:bottom w:val="single" w:sz="4" w:space="0" w:color="auto"/>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lastRenderedPageBreak/>
              <w:t>Ciele a výsledný stav</w:t>
            </w:r>
          </w:p>
        </w:tc>
      </w:tr>
      <w:tr w:rsidR="00252F43" w:rsidRPr="00870D7F" w:rsidTr="00870D7F">
        <w:trPr>
          <w:trHeight w:val="741"/>
        </w:trPr>
        <w:tc>
          <w:tcPr>
            <w:tcW w:w="9363"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252F43" w:rsidRPr="00870D7F" w:rsidRDefault="00252F43">
            <w:pPr>
              <w:rPr>
                <w:i/>
                <w:lang w:eastAsia="en-US"/>
              </w:rPr>
            </w:pPr>
            <w:r w:rsidRPr="00870D7F">
              <w:rPr>
                <w:i/>
                <w:lang w:eastAsia="en-US"/>
              </w:rPr>
              <w:t>Uveďte hlavné ciele navrhovaného predpisu (aký výsledný stav chcete reguláciou dosiahnuť).</w:t>
            </w:r>
          </w:p>
          <w:p w:rsidR="00252F43" w:rsidRPr="00870D7F" w:rsidRDefault="00252F43">
            <w:pPr>
              <w:jc w:val="both"/>
              <w:rPr>
                <w:lang w:eastAsia="en-US"/>
              </w:rPr>
            </w:pPr>
          </w:p>
          <w:p w:rsidR="00252F43" w:rsidRPr="00870D7F" w:rsidRDefault="00386BDF">
            <w:pPr>
              <w:jc w:val="both"/>
              <w:rPr>
                <w:lang w:eastAsia="en-US"/>
              </w:rPr>
            </w:pPr>
            <w:r>
              <w:rPr>
                <w:lang w:eastAsia="en-US"/>
              </w:rPr>
              <w:t xml:space="preserve">     </w:t>
            </w:r>
            <w:r w:rsidR="00252F43" w:rsidRPr="00870D7F">
              <w:rPr>
                <w:lang w:eastAsia="en-US"/>
              </w:rPr>
              <w:t xml:space="preserve">Cieľom návrhu je vytvoriť jednotné legislatívne podmienky na zabezpečenie primeranej ochrany kybernetického priestoru štátu pred potenciálnymi hrozbami, ktorých existenciou by mohli vzniknúť Slovenskej republike nenahraditeľné škody a tak by mohla byť narušená dôveryhodnosť štátu či organizácie. </w:t>
            </w:r>
          </w:p>
          <w:p w:rsidR="00252F43" w:rsidRPr="00870D7F" w:rsidRDefault="00252F43">
            <w:pPr>
              <w:spacing w:before="120" w:after="120"/>
              <w:jc w:val="both"/>
              <w:rPr>
                <w:bCs/>
                <w:lang w:eastAsia="en-US"/>
              </w:rPr>
            </w:pPr>
            <w:r w:rsidRPr="00870D7F">
              <w:rPr>
                <w:bCs/>
                <w:lang w:eastAsia="en-US"/>
              </w:rPr>
              <w:t xml:space="preserve">Návrh </w:t>
            </w:r>
            <w:r w:rsidR="00386BDF">
              <w:rPr>
                <w:bCs/>
                <w:lang w:eastAsia="en-US"/>
              </w:rPr>
              <w:t xml:space="preserve">zákona </w:t>
            </w:r>
            <w:r w:rsidRPr="00870D7F">
              <w:rPr>
                <w:bCs/>
                <w:lang w:eastAsia="en-US"/>
              </w:rPr>
              <w:t>vymedzuje základnú terminológiu</w:t>
            </w:r>
            <w:r w:rsidR="00386BDF">
              <w:rPr>
                <w:bCs/>
                <w:lang w:eastAsia="en-US"/>
              </w:rPr>
              <w:t xml:space="preserve"> kybernetickej bezpečnosti a upravuje:</w:t>
            </w:r>
          </w:p>
          <w:p w:rsidR="00386BDF" w:rsidRPr="00386BDF" w:rsidRDefault="00386BDF" w:rsidP="00386BDF">
            <w:pPr>
              <w:numPr>
                <w:ilvl w:val="0"/>
                <w:numId w:val="38"/>
              </w:numPr>
              <w:autoSpaceDE w:val="0"/>
              <w:autoSpaceDN w:val="0"/>
              <w:ind w:left="567" w:hanging="567"/>
              <w:contextualSpacing/>
              <w:jc w:val="both"/>
            </w:pPr>
            <w:bookmarkStart w:id="0" w:name="_Ref469647700"/>
            <w:r w:rsidRPr="00386BDF">
              <w:t>organizáciu, pôsobnosť a povinnosti orgánov verejnej moci v oblasti kybernetickej bezpečnosti,</w:t>
            </w:r>
            <w:bookmarkEnd w:id="0"/>
          </w:p>
          <w:p w:rsidR="00386BDF" w:rsidRPr="00386BDF" w:rsidRDefault="00386BDF" w:rsidP="00386BDF">
            <w:pPr>
              <w:numPr>
                <w:ilvl w:val="0"/>
                <w:numId w:val="38"/>
              </w:numPr>
              <w:autoSpaceDE w:val="0"/>
              <w:autoSpaceDN w:val="0"/>
              <w:ind w:left="567" w:hanging="567"/>
              <w:contextualSpacing/>
              <w:jc w:val="both"/>
            </w:pPr>
            <w:r w:rsidRPr="00386BDF">
              <w:t xml:space="preserve">národnú stratégiu kybernetickej bezpečnosti, </w:t>
            </w:r>
          </w:p>
          <w:p w:rsidR="00386BDF" w:rsidRPr="00386BDF" w:rsidRDefault="00386BDF" w:rsidP="00386BDF">
            <w:pPr>
              <w:numPr>
                <w:ilvl w:val="0"/>
                <w:numId w:val="38"/>
              </w:numPr>
              <w:autoSpaceDE w:val="0"/>
              <w:autoSpaceDN w:val="0"/>
              <w:ind w:left="567" w:hanging="567"/>
              <w:contextualSpacing/>
              <w:jc w:val="both"/>
            </w:pPr>
            <w:r w:rsidRPr="00386BDF">
              <w:t>jednotný informačný systém kybernetickej bezpečnosti,</w:t>
            </w:r>
          </w:p>
          <w:p w:rsidR="00386BDF" w:rsidRPr="00386BDF" w:rsidRDefault="00386BDF" w:rsidP="00386BDF">
            <w:pPr>
              <w:numPr>
                <w:ilvl w:val="0"/>
                <w:numId w:val="38"/>
              </w:numPr>
              <w:autoSpaceDE w:val="0"/>
              <w:autoSpaceDN w:val="0"/>
              <w:ind w:left="567" w:hanging="567"/>
              <w:contextualSpacing/>
              <w:jc w:val="both"/>
            </w:pPr>
            <w:r w:rsidRPr="00386BDF">
              <w:t xml:space="preserve">organizáciu a pôsobnosť jednotiek pre riešenie kybernetických bezpečnostných incidentov (ďalej len „jednotka CSIRT“) a ich akreditáciu, </w:t>
            </w:r>
          </w:p>
          <w:p w:rsidR="00386BDF" w:rsidRPr="00386BDF" w:rsidRDefault="00386BDF" w:rsidP="00386BDF">
            <w:pPr>
              <w:numPr>
                <w:ilvl w:val="0"/>
                <w:numId w:val="38"/>
              </w:numPr>
              <w:autoSpaceDE w:val="0"/>
              <w:autoSpaceDN w:val="0"/>
              <w:ind w:left="567" w:hanging="567"/>
              <w:contextualSpacing/>
              <w:jc w:val="both"/>
            </w:pPr>
            <w:r w:rsidRPr="00386BDF">
              <w:t>postavenie a povinnosti prevádzkovateľa základnej služby a poskytovateľa digitálnej služby,</w:t>
            </w:r>
          </w:p>
          <w:p w:rsidR="00386BDF" w:rsidRPr="00386BDF" w:rsidRDefault="00386BDF" w:rsidP="00386BDF">
            <w:pPr>
              <w:numPr>
                <w:ilvl w:val="0"/>
                <w:numId w:val="38"/>
              </w:numPr>
              <w:autoSpaceDE w:val="0"/>
              <w:autoSpaceDN w:val="0"/>
              <w:ind w:left="567" w:hanging="567"/>
              <w:contextualSpacing/>
              <w:jc w:val="both"/>
            </w:pPr>
            <w:r w:rsidRPr="00386BDF">
              <w:t>bezpečnostné opatrenia,</w:t>
            </w:r>
          </w:p>
          <w:p w:rsidR="00386BDF" w:rsidRPr="00386BDF" w:rsidRDefault="00386BDF" w:rsidP="00386BDF">
            <w:pPr>
              <w:numPr>
                <w:ilvl w:val="0"/>
                <w:numId w:val="38"/>
              </w:numPr>
              <w:autoSpaceDE w:val="0"/>
              <w:autoSpaceDN w:val="0"/>
              <w:ind w:left="567" w:hanging="567"/>
              <w:contextualSpacing/>
              <w:jc w:val="both"/>
            </w:pPr>
            <w:r w:rsidRPr="00386BDF">
              <w:t xml:space="preserve">systém zabezpečenia kybernetickej bezpečnosti, </w:t>
            </w:r>
          </w:p>
          <w:p w:rsidR="00386BDF" w:rsidRPr="00386BDF" w:rsidRDefault="00386BDF" w:rsidP="00386BDF">
            <w:pPr>
              <w:numPr>
                <w:ilvl w:val="0"/>
                <w:numId w:val="38"/>
              </w:numPr>
              <w:autoSpaceDE w:val="0"/>
              <w:autoSpaceDN w:val="0"/>
              <w:ind w:left="567" w:hanging="567"/>
              <w:contextualSpacing/>
              <w:jc w:val="both"/>
            </w:pPr>
            <w:r w:rsidRPr="00386BDF">
              <w:t>kontrolu nad dodržiavaním tohto zákona a audit.</w:t>
            </w:r>
          </w:p>
          <w:p w:rsidR="0013792F" w:rsidRDefault="00386BDF" w:rsidP="0013792F">
            <w:pPr>
              <w:jc w:val="both"/>
              <w:rPr>
                <w:lang w:eastAsia="en-US"/>
              </w:rPr>
            </w:pPr>
            <w:r>
              <w:rPr>
                <w:lang w:eastAsia="en-US"/>
              </w:rPr>
              <w:t xml:space="preserve">     </w:t>
            </w:r>
          </w:p>
          <w:p w:rsidR="00252F43" w:rsidRDefault="0013792F" w:rsidP="0013792F">
            <w:pPr>
              <w:jc w:val="both"/>
              <w:rPr>
                <w:lang w:eastAsia="en-US"/>
              </w:rPr>
            </w:pPr>
            <w:r>
              <w:rPr>
                <w:lang w:eastAsia="en-US"/>
              </w:rPr>
              <w:t xml:space="preserve">     </w:t>
            </w:r>
            <w:r w:rsidR="00252F43" w:rsidRPr="00870D7F">
              <w:rPr>
                <w:lang w:eastAsia="en-US"/>
              </w:rPr>
              <w:t xml:space="preserve">Okrem uvedených okruhov návrh zákona rieši aj niektoré ďalšie požiadavky smernice NIS, ako je napríklad vymedzenie medzinárodnej spolupráce v oblasti kybernetickej bezpečnosti, plnenie notifikačných povinností, nahlasovanie kybernetických bezpečnostných incidentov ako aj dobrovoľné nahlasovanie kybernetických bezpečnostných incidentov, definuje niektoré zásady správania sa v kybernetickom priestore a svojimi ustanoveniami podporuje výskum a vzdelávanie ako aj zvyšovanie bezpečnostného povedomia v oblasti kybernetickej bezpečnosti. </w:t>
            </w:r>
          </w:p>
          <w:p w:rsidR="0013792F" w:rsidRDefault="0013792F" w:rsidP="0013792F">
            <w:pPr>
              <w:jc w:val="both"/>
            </w:pPr>
          </w:p>
          <w:p w:rsidR="0013792F" w:rsidRDefault="0013792F" w:rsidP="0013792F">
            <w:pPr>
              <w:jc w:val="both"/>
            </w:pPr>
            <w:r>
              <w:t xml:space="preserve">     Návrh zákona v jednotlivých článkoch novelizuje právne predpisy, ktorých zmena je z dôvodu dostatočnej transpozície nevyhnutná. Ide najmä o zákon č. 45/2011 Z. z. o kritickej infraštruktúre, zákon č. 351/2011 Z. z. o elektronických komunikáciách v znení neskorších predpisov a zákon č. 319/2002 Z. z. o obrane Slovenskej republiky v znení neskorších predpisov a zákon č. 321/2002 Z. z. o ozbrojených silách. Návrh zákona komplexným spôsobom rieši odmeňovanie zamestnancov na strane štátu tak, aby bol štát schopný zamestnať odborníkov v oblasti kybernetickej bezpečnosti a tým konkurovať súkromným zamestnávateľom. V súvislosti so zavedením nového správneho poplatku rovnako dochádza k doplneniu zákona č. 145/1995 Z. z. o správnych poplatkoch v znení neskorších predpisov.</w:t>
            </w:r>
          </w:p>
          <w:p w:rsidR="0013792F" w:rsidRDefault="00386BDF">
            <w:pPr>
              <w:jc w:val="both"/>
              <w:rPr>
                <w:lang w:eastAsia="en-US"/>
              </w:rPr>
            </w:pPr>
            <w:r>
              <w:rPr>
                <w:lang w:eastAsia="en-US"/>
              </w:rPr>
              <w:t xml:space="preserve">     </w:t>
            </w:r>
          </w:p>
          <w:p w:rsidR="00252F43" w:rsidRPr="00870D7F" w:rsidRDefault="0013792F">
            <w:pPr>
              <w:jc w:val="both"/>
              <w:rPr>
                <w:lang w:eastAsia="en-US"/>
              </w:rPr>
            </w:pPr>
            <w:r>
              <w:rPr>
                <w:lang w:eastAsia="en-US"/>
              </w:rPr>
              <w:t xml:space="preserve">     </w:t>
            </w:r>
            <w:r w:rsidR="00252F43" w:rsidRPr="00870D7F">
              <w:rPr>
                <w:lang w:eastAsia="en-US"/>
              </w:rPr>
              <w:t>Od zavedenia opatrení ustanovených v návrhu zákona sa očakáva, že budú vytvorené predpoklady pre ucelený, koordinovaný a efektívny systém ochrany kybernetického priestoru Slovenskej republiky.</w:t>
            </w:r>
          </w:p>
          <w:p w:rsidR="00252F43" w:rsidRPr="00870D7F" w:rsidRDefault="00252F43">
            <w:pPr>
              <w:jc w:val="both"/>
              <w:rPr>
                <w:lang w:eastAsia="en-US"/>
              </w:rPr>
            </w:pPr>
          </w:p>
        </w:tc>
      </w:tr>
      <w:tr w:rsidR="00252F43" w:rsidRPr="00870D7F" w:rsidTr="00252F43">
        <w:tc>
          <w:tcPr>
            <w:tcW w:w="9363" w:type="dxa"/>
            <w:gridSpan w:val="11"/>
            <w:tcBorders>
              <w:top w:val="single" w:sz="4" w:space="0" w:color="auto"/>
              <w:left w:val="single" w:sz="4" w:space="0" w:color="auto"/>
              <w:bottom w:val="nil"/>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t>Dotknuté subjekty</w:t>
            </w:r>
          </w:p>
        </w:tc>
      </w:tr>
      <w:tr w:rsidR="00252F43" w:rsidRPr="00870D7F" w:rsidTr="00252F43">
        <w:tc>
          <w:tcPr>
            <w:tcW w:w="9363" w:type="dxa"/>
            <w:gridSpan w:val="11"/>
            <w:tcBorders>
              <w:top w:val="nil"/>
              <w:left w:val="single" w:sz="4" w:space="0" w:color="auto"/>
              <w:bottom w:val="single" w:sz="4" w:space="0" w:color="auto"/>
              <w:right w:val="single" w:sz="4" w:space="0" w:color="auto"/>
            </w:tcBorders>
            <w:shd w:val="clear" w:color="auto" w:fill="FFFFFF" w:themeFill="background1"/>
          </w:tcPr>
          <w:p w:rsidR="00252F43" w:rsidRPr="00870D7F" w:rsidRDefault="00252F43">
            <w:pPr>
              <w:rPr>
                <w:i/>
                <w:lang w:eastAsia="en-US"/>
              </w:rPr>
            </w:pPr>
            <w:r w:rsidRPr="00870D7F">
              <w:rPr>
                <w:i/>
                <w:lang w:eastAsia="en-US"/>
              </w:rPr>
              <w:t>Uveďte subjekty, ktorých sa zmeny návrhu dotknú priamo aj nepriamo:</w:t>
            </w:r>
          </w:p>
          <w:p w:rsidR="0013792F" w:rsidRDefault="00386BDF">
            <w:pPr>
              <w:jc w:val="both"/>
              <w:rPr>
                <w:lang w:eastAsia="en-US"/>
              </w:rPr>
            </w:pPr>
            <w:r>
              <w:rPr>
                <w:lang w:eastAsia="en-US"/>
              </w:rPr>
              <w:t xml:space="preserve">    </w:t>
            </w:r>
          </w:p>
          <w:p w:rsidR="00386BDF" w:rsidRDefault="0013792F">
            <w:pPr>
              <w:jc w:val="both"/>
              <w:rPr>
                <w:lang w:eastAsia="en-US"/>
              </w:rPr>
            </w:pPr>
            <w:r>
              <w:rPr>
                <w:lang w:eastAsia="en-US"/>
              </w:rPr>
              <w:t xml:space="preserve">     </w:t>
            </w:r>
            <w:r w:rsidR="00252F43" w:rsidRPr="00870D7F">
              <w:rPr>
                <w:lang w:eastAsia="en-US"/>
              </w:rPr>
              <w:t xml:space="preserve">Zavedenie opatrení sa bude dotýkať orgánov verejnej moci, ústredných orgánov štátnej správy, vrátane rozpočtových a príspevkových organizácií zriadených v ich pôsobnosti a právnických osôb a fyzických osôb prevádzkujúcich základné a digitálne služby podľa v návrhu zákona. </w:t>
            </w:r>
          </w:p>
          <w:p w:rsidR="0013792F" w:rsidRDefault="0013792F">
            <w:pPr>
              <w:jc w:val="both"/>
              <w:rPr>
                <w:lang w:eastAsia="en-US"/>
              </w:rPr>
            </w:pPr>
          </w:p>
          <w:p w:rsidR="00252F43" w:rsidRPr="00870D7F" w:rsidRDefault="00386BDF">
            <w:pPr>
              <w:jc w:val="both"/>
              <w:rPr>
                <w:lang w:eastAsia="en-US"/>
              </w:rPr>
            </w:pPr>
            <w:r>
              <w:rPr>
                <w:lang w:eastAsia="en-US"/>
              </w:rPr>
              <w:t xml:space="preserve">     </w:t>
            </w:r>
            <w:r w:rsidR="00252F43" w:rsidRPr="00870D7F">
              <w:rPr>
                <w:lang w:eastAsia="en-US"/>
              </w:rPr>
              <w:t>V pozitívnom kontexte sa opatrenia dotknú aj malých a stredných podnikov, vrátane občanov, a to zvýšením bezpečnosti v kybernetickom priestore.</w:t>
            </w:r>
          </w:p>
          <w:p w:rsidR="00252F43" w:rsidRPr="00870D7F" w:rsidRDefault="00252F43">
            <w:pPr>
              <w:rPr>
                <w:i/>
                <w:lang w:eastAsia="en-US"/>
              </w:rPr>
            </w:pPr>
          </w:p>
        </w:tc>
      </w:tr>
      <w:tr w:rsidR="00252F43" w:rsidRPr="00870D7F" w:rsidTr="00252F43">
        <w:tc>
          <w:tcPr>
            <w:tcW w:w="9363" w:type="dxa"/>
            <w:gridSpan w:val="11"/>
            <w:tcBorders>
              <w:top w:val="single" w:sz="4" w:space="0" w:color="auto"/>
              <w:left w:val="single" w:sz="4" w:space="0" w:color="auto"/>
              <w:bottom w:val="nil"/>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t>Alternatívne riešenia</w:t>
            </w:r>
          </w:p>
        </w:tc>
      </w:tr>
      <w:tr w:rsidR="00252F43" w:rsidRPr="00870D7F" w:rsidTr="00252F43">
        <w:trPr>
          <w:trHeight w:val="709"/>
        </w:trPr>
        <w:tc>
          <w:tcPr>
            <w:tcW w:w="9363" w:type="dxa"/>
            <w:gridSpan w:val="11"/>
            <w:tcBorders>
              <w:top w:val="nil"/>
              <w:left w:val="single" w:sz="4" w:space="0" w:color="auto"/>
              <w:bottom w:val="single" w:sz="4" w:space="0" w:color="auto"/>
              <w:right w:val="single" w:sz="4" w:space="0" w:color="auto"/>
            </w:tcBorders>
            <w:shd w:val="clear" w:color="auto" w:fill="FFFFFF" w:themeFill="background1"/>
          </w:tcPr>
          <w:p w:rsidR="00252F43" w:rsidRPr="00870D7F" w:rsidRDefault="00252F43">
            <w:pPr>
              <w:rPr>
                <w:i/>
                <w:lang w:eastAsia="en-US"/>
              </w:rPr>
            </w:pPr>
            <w:r w:rsidRPr="00870D7F">
              <w:rPr>
                <w:i/>
                <w:lang w:eastAsia="en-US"/>
              </w:rPr>
              <w:t>Aké alternatívne riešenia boli posudzované?</w:t>
            </w:r>
          </w:p>
          <w:p w:rsidR="00252F43" w:rsidRPr="00870D7F" w:rsidRDefault="00252F43">
            <w:pPr>
              <w:rPr>
                <w:i/>
                <w:lang w:eastAsia="en-US"/>
              </w:rPr>
            </w:pPr>
            <w:r w:rsidRPr="00870D7F">
              <w:rPr>
                <w:i/>
                <w:lang w:eastAsia="en-US"/>
              </w:rPr>
              <w:t>Uveďte, aké alternatívne spôsoby na odstránenie definovaného problému boli identifikované a posudzované.</w:t>
            </w:r>
          </w:p>
          <w:p w:rsidR="00252F43" w:rsidRPr="00870D7F" w:rsidRDefault="00252F43">
            <w:pPr>
              <w:rPr>
                <w:lang w:eastAsia="en-US"/>
              </w:rPr>
            </w:pPr>
          </w:p>
          <w:p w:rsidR="00252F43" w:rsidRPr="00870D7F" w:rsidRDefault="00252F43">
            <w:pPr>
              <w:rPr>
                <w:lang w:eastAsia="en-US"/>
              </w:rPr>
            </w:pPr>
            <w:r w:rsidRPr="00870D7F">
              <w:rPr>
                <w:lang w:eastAsia="en-US"/>
              </w:rPr>
              <w:t>Neboli identifikované žiadne alternatívne riešenia.</w:t>
            </w:r>
          </w:p>
          <w:p w:rsidR="00252F43" w:rsidRPr="00870D7F" w:rsidRDefault="00252F43">
            <w:pPr>
              <w:rPr>
                <w:lang w:eastAsia="en-US"/>
              </w:rPr>
            </w:pPr>
          </w:p>
        </w:tc>
      </w:tr>
      <w:tr w:rsidR="00252F43" w:rsidRPr="00870D7F" w:rsidTr="00252F43">
        <w:tc>
          <w:tcPr>
            <w:tcW w:w="9363" w:type="dxa"/>
            <w:gridSpan w:val="11"/>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t>Vykonávacie predpisy</w:t>
            </w:r>
          </w:p>
        </w:tc>
      </w:tr>
      <w:tr w:rsidR="00252F43" w:rsidRPr="00870D7F" w:rsidTr="00252F43">
        <w:tc>
          <w:tcPr>
            <w:tcW w:w="6023" w:type="dxa"/>
            <w:gridSpan w:val="5"/>
            <w:tcBorders>
              <w:top w:val="single" w:sz="4" w:space="0" w:color="FFFFFF" w:themeColor="background1"/>
              <w:left w:val="single" w:sz="4" w:space="0" w:color="auto"/>
              <w:bottom w:val="nil"/>
              <w:right w:val="nil"/>
            </w:tcBorders>
            <w:shd w:val="clear" w:color="auto" w:fill="FFFFFF" w:themeFill="background1"/>
            <w:hideMark/>
          </w:tcPr>
          <w:p w:rsidR="00252F43" w:rsidRPr="00870D7F" w:rsidRDefault="00252F43">
            <w:pPr>
              <w:rPr>
                <w:i/>
                <w:lang w:eastAsia="en-US"/>
              </w:rPr>
            </w:pPr>
            <w:r w:rsidRPr="00870D7F">
              <w:rPr>
                <w:i/>
                <w:lang w:eastAsia="en-US"/>
              </w:rPr>
              <w:t>Predpokladá sa prijatie/zmena  vykonávacích predpisov?</w:t>
            </w:r>
          </w:p>
        </w:tc>
        <w:tc>
          <w:tcPr>
            <w:tcW w:w="1632" w:type="dxa"/>
            <w:gridSpan w:val="3"/>
            <w:tcBorders>
              <w:top w:val="single" w:sz="4" w:space="0" w:color="FFFFFF" w:themeColor="background1"/>
              <w:left w:val="nil"/>
              <w:bottom w:val="nil"/>
              <w:right w:val="nil"/>
            </w:tcBorders>
            <w:shd w:val="clear" w:color="auto" w:fill="FFFFFF" w:themeFill="background1"/>
            <w:hideMark/>
          </w:tcPr>
          <w:p w:rsidR="00252F43" w:rsidRPr="00870D7F" w:rsidRDefault="00252F43">
            <w:pPr>
              <w:jc w:val="center"/>
              <w:rPr>
                <w:lang w:eastAsia="en-US"/>
              </w:rPr>
            </w:pPr>
            <w:r w:rsidRPr="00870D7F">
              <w:rPr>
                <w:rFonts w:eastAsia="MS Mincho"/>
                <w:b/>
                <w:lang w:eastAsia="en-US"/>
              </w:rPr>
              <w:t>X</w:t>
            </w:r>
            <w:r w:rsidRPr="00870D7F">
              <w:rPr>
                <w:lang w:eastAsia="en-US"/>
              </w:rPr>
              <w:t xml:space="preserve">  Áno</w:t>
            </w:r>
          </w:p>
        </w:tc>
        <w:tc>
          <w:tcPr>
            <w:tcW w:w="1708" w:type="dxa"/>
            <w:gridSpan w:val="3"/>
            <w:tcBorders>
              <w:top w:val="single" w:sz="4" w:space="0" w:color="FFFFFF" w:themeColor="background1"/>
              <w:left w:val="nil"/>
              <w:bottom w:val="nil"/>
              <w:right w:val="single" w:sz="4" w:space="0" w:color="auto"/>
            </w:tcBorders>
            <w:shd w:val="clear" w:color="auto" w:fill="FFFFFF" w:themeFill="background1"/>
            <w:hideMark/>
          </w:tcPr>
          <w:p w:rsidR="00252F43" w:rsidRPr="00870D7F" w:rsidRDefault="00252F43">
            <w:pPr>
              <w:jc w:val="center"/>
              <w:rPr>
                <w:lang w:eastAsia="en-US"/>
              </w:rPr>
            </w:pPr>
            <w:r w:rsidRPr="00870D7F">
              <w:rPr>
                <w:rFonts w:ascii="Segoe UI Symbol" w:eastAsia="MS Gothic" w:hAnsi="Segoe UI Symbol" w:cs="Segoe UI Symbol"/>
                <w:lang w:eastAsia="en-US"/>
              </w:rPr>
              <w:t>☐</w:t>
            </w:r>
            <w:r w:rsidRPr="00870D7F">
              <w:rPr>
                <w:lang w:eastAsia="en-US"/>
              </w:rPr>
              <w:t xml:space="preserve">  Nie</w:t>
            </w:r>
          </w:p>
        </w:tc>
      </w:tr>
      <w:tr w:rsidR="00252F43" w:rsidRPr="00870D7F" w:rsidTr="00252F43">
        <w:tc>
          <w:tcPr>
            <w:tcW w:w="9363" w:type="dxa"/>
            <w:gridSpan w:val="11"/>
            <w:tcBorders>
              <w:top w:val="nil"/>
              <w:left w:val="single" w:sz="4" w:space="0" w:color="auto"/>
              <w:bottom w:val="single" w:sz="4" w:space="0" w:color="auto"/>
              <w:right w:val="single" w:sz="4" w:space="0" w:color="auto"/>
            </w:tcBorders>
            <w:shd w:val="clear" w:color="auto" w:fill="FFFFFF" w:themeFill="background1"/>
          </w:tcPr>
          <w:p w:rsidR="00252F43" w:rsidRPr="00870D7F" w:rsidRDefault="00252F43">
            <w:pPr>
              <w:rPr>
                <w:i/>
                <w:lang w:eastAsia="en-US"/>
              </w:rPr>
            </w:pPr>
            <w:r w:rsidRPr="00870D7F">
              <w:rPr>
                <w:i/>
                <w:lang w:eastAsia="en-US"/>
              </w:rPr>
              <w:t>Ak áno, uveďte ktoré oblasti budú nimi upravené, resp. ktorých vykonávacích predpisov sa zmena dotkne:</w:t>
            </w:r>
          </w:p>
          <w:p w:rsidR="00386BDF" w:rsidRDefault="00386BDF">
            <w:pPr>
              <w:rPr>
                <w:lang w:eastAsia="en-US"/>
              </w:rPr>
            </w:pPr>
          </w:p>
          <w:p w:rsidR="00252F43" w:rsidRPr="00870D7F" w:rsidRDefault="00252F43">
            <w:pPr>
              <w:rPr>
                <w:lang w:eastAsia="en-US"/>
              </w:rPr>
            </w:pPr>
            <w:r w:rsidRPr="00870D7F">
              <w:rPr>
                <w:lang w:eastAsia="en-US"/>
              </w:rPr>
              <w:t>Vykonávacími všeobecne záväznými právnymi predpismi budú upravené najmä:</w:t>
            </w:r>
          </w:p>
          <w:p w:rsidR="00386BDF" w:rsidRPr="00386BDF" w:rsidRDefault="00386BDF" w:rsidP="00386BDF">
            <w:pPr>
              <w:numPr>
                <w:ilvl w:val="6"/>
                <w:numId w:val="39"/>
              </w:numPr>
              <w:autoSpaceDE w:val="0"/>
              <w:autoSpaceDN w:val="0"/>
              <w:ind w:left="567" w:hanging="567"/>
              <w:jc w:val="both"/>
            </w:pPr>
            <w:r w:rsidRPr="00386BDF">
              <w:t>podrobnosti o technickom, technologickom a personálnom vybavení jednotky CSIRT,</w:t>
            </w:r>
          </w:p>
          <w:p w:rsidR="00386BDF" w:rsidRPr="00386BDF" w:rsidRDefault="00386BDF" w:rsidP="00386BDF">
            <w:pPr>
              <w:numPr>
                <w:ilvl w:val="6"/>
                <w:numId w:val="39"/>
              </w:numPr>
              <w:autoSpaceDE w:val="0"/>
              <w:autoSpaceDN w:val="0"/>
              <w:ind w:left="567" w:hanging="567"/>
              <w:jc w:val="both"/>
            </w:pPr>
            <w:r w:rsidRPr="00386BDF">
              <w:t>identifikačné kritériá základnej služby podľa,</w:t>
            </w:r>
          </w:p>
          <w:p w:rsidR="00386BDF" w:rsidRPr="00386BDF" w:rsidRDefault="00386BDF" w:rsidP="00386BDF">
            <w:pPr>
              <w:numPr>
                <w:ilvl w:val="6"/>
                <w:numId w:val="39"/>
              </w:numPr>
              <w:autoSpaceDE w:val="0"/>
              <w:autoSpaceDN w:val="0"/>
              <w:ind w:left="567" w:hanging="567"/>
              <w:jc w:val="both"/>
            </w:pPr>
            <w:r w:rsidRPr="00386BDF">
              <w:lastRenderedPageBreak/>
              <w:t xml:space="preserve">obsah bezpečnostných opatrení, obsah a štruktúru bezpečnostnej dokumentácie, rozsah všeobecných bezpečnostných opatrení, </w:t>
            </w:r>
          </w:p>
          <w:p w:rsidR="00386BDF" w:rsidRPr="00386BDF" w:rsidRDefault="00386BDF" w:rsidP="00386BDF">
            <w:pPr>
              <w:numPr>
                <w:ilvl w:val="6"/>
                <w:numId w:val="39"/>
              </w:numPr>
              <w:autoSpaceDE w:val="0"/>
              <w:autoSpaceDN w:val="0"/>
              <w:ind w:left="567" w:hanging="567"/>
              <w:jc w:val="both"/>
            </w:pPr>
            <w:r w:rsidRPr="00386BDF">
              <w:t>bezpečnostné štandardy a znalostné štandardy v oblasti kybernetickej bezpečnosti,</w:t>
            </w:r>
          </w:p>
          <w:p w:rsidR="00386BDF" w:rsidRPr="00386BDF" w:rsidRDefault="00386BDF" w:rsidP="00386BDF">
            <w:pPr>
              <w:numPr>
                <w:ilvl w:val="6"/>
                <w:numId w:val="39"/>
              </w:numPr>
              <w:autoSpaceDE w:val="0"/>
              <w:autoSpaceDN w:val="0"/>
              <w:ind w:left="567" w:hanging="567"/>
              <w:jc w:val="both"/>
            </w:pPr>
            <w:r w:rsidRPr="00386BDF">
              <w:t>kategórie a identifikačné kritériá kybernetických bezpečnostných incidentov hlásených prevádzkovateľom základnej služby a poskytovateľom digitálnej služby,</w:t>
            </w:r>
          </w:p>
          <w:p w:rsidR="00386BDF" w:rsidRDefault="00386BDF" w:rsidP="00386BDF">
            <w:pPr>
              <w:numPr>
                <w:ilvl w:val="6"/>
                <w:numId w:val="39"/>
              </w:numPr>
              <w:autoSpaceDE w:val="0"/>
              <w:autoSpaceDN w:val="0"/>
              <w:ind w:left="567" w:hanging="567"/>
              <w:jc w:val="both"/>
            </w:pPr>
            <w:r w:rsidRPr="00386BDF">
              <w:t>pravidlá a rozsah auditu kybernetickej bezpečnosti, podrobnosti o akreditácii orgánov posudzovania zhody podľa tohto zákona a o obsahu záverečnej správy o výsledkoch auditu kybernetickej bezpečnosti.</w:t>
            </w:r>
          </w:p>
          <w:p w:rsidR="00252F43" w:rsidRPr="00870D7F" w:rsidRDefault="00252F43">
            <w:pPr>
              <w:autoSpaceDE w:val="0"/>
              <w:autoSpaceDN w:val="0"/>
              <w:ind w:left="360"/>
              <w:jc w:val="both"/>
              <w:rPr>
                <w:lang w:eastAsia="en-US"/>
              </w:rPr>
            </w:pPr>
          </w:p>
        </w:tc>
      </w:tr>
      <w:tr w:rsidR="00252F43" w:rsidRPr="00870D7F" w:rsidTr="00252F43">
        <w:tc>
          <w:tcPr>
            <w:tcW w:w="9363" w:type="dxa"/>
            <w:gridSpan w:val="11"/>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lastRenderedPageBreak/>
              <w:t xml:space="preserve">Transpozícia práva EÚ </w:t>
            </w:r>
          </w:p>
        </w:tc>
      </w:tr>
      <w:tr w:rsidR="00252F43" w:rsidRPr="00870D7F" w:rsidTr="00252F43">
        <w:trPr>
          <w:trHeight w:val="157"/>
        </w:trPr>
        <w:tc>
          <w:tcPr>
            <w:tcW w:w="9363" w:type="dxa"/>
            <w:gridSpan w:val="11"/>
            <w:tcBorders>
              <w:top w:val="nil"/>
              <w:left w:val="single" w:sz="4" w:space="0" w:color="000000" w:themeColor="text1"/>
              <w:bottom w:val="nil"/>
              <w:right w:val="single" w:sz="4" w:space="0" w:color="auto"/>
            </w:tcBorders>
            <w:shd w:val="clear" w:color="auto" w:fill="FFFFFF" w:themeFill="background1"/>
          </w:tcPr>
          <w:p w:rsidR="00252F43" w:rsidRPr="00870D7F" w:rsidRDefault="00252F43">
            <w:pPr>
              <w:rPr>
                <w:i/>
                <w:lang w:eastAsia="en-US"/>
              </w:rPr>
            </w:pPr>
            <w:r w:rsidRPr="00870D7F">
              <w:rPr>
                <w:i/>
                <w:lang w:eastAsia="en-US"/>
              </w:rPr>
              <w:t>Uveďte, v ktorých ustanoveniach ide národná právna úprava nad rámec minimálnych požiadaviek EÚ spolu s odôvodnením.</w:t>
            </w:r>
          </w:p>
          <w:p w:rsidR="00252F43" w:rsidRPr="00870D7F" w:rsidRDefault="001A0D26" w:rsidP="002E46D9">
            <w:pPr>
              <w:jc w:val="both"/>
              <w:rPr>
                <w:lang w:eastAsia="en-US"/>
              </w:rPr>
            </w:pPr>
            <w:r>
              <w:t xml:space="preserve">     N</w:t>
            </w:r>
            <w:r w:rsidRPr="00386BDF">
              <w:t>ávrh zákona o kybernetickej bezpečnosti a o zmene a doplnení niektorých zákon</w:t>
            </w:r>
            <w:r>
              <w:t xml:space="preserve">ov </w:t>
            </w:r>
            <w:r w:rsidRPr="00386BDF">
              <w:t xml:space="preserve">do národného právneho poriadku </w:t>
            </w:r>
            <w:r w:rsidRPr="00870D7F">
              <w:rPr>
                <w:lang w:eastAsia="en-US"/>
              </w:rPr>
              <w:t xml:space="preserve">v plnej miere </w:t>
            </w:r>
            <w:r w:rsidRPr="00386BDF">
              <w:t>transponuje smernicu Európskeho parlamentu a rady (EÚ) 2016/1148 zo 6. júla 2016 o opatreniach na zabezpečenie vysokej spoločnej úrovne bezpečnosti sietí</w:t>
            </w:r>
            <w:r>
              <w:t xml:space="preserve"> a informačných systémov v Únii.</w:t>
            </w:r>
          </w:p>
        </w:tc>
      </w:tr>
      <w:tr w:rsidR="00252F43" w:rsidRPr="00870D7F" w:rsidTr="00252F43">
        <w:trPr>
          <w:trHeight w:val="248"/>
        </w:trPr>
        <w:tc>
          <w:tcPr>
            <w:tcW w:w="9363" w:type="dxa"/>
            <w:gridSpan w:val="11"/>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252F43" w:rsidRPr="00870D7F" w:rsidRDefault="00252F43">
            <w:pPr>
              <w:jc w:val="center"/>
              <w:rPr>
                <w:lang w:eastAsia="en-US"/>
              </w:rPr>
            </w:pPr>
          </w:p>
        </w:tc>
      </w:tr>
      <w:tr w:rsidR="00252F43" w:rsidRPr="00870D7F" w:rsidTr="00252F43">
        <w:tc>
          <w:tcPr>
            <w:tcW w:w="9363" w:type="dxa"/>
            <w:gridSpan w:val="11"/>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t>Preskúmanie účelnosti**</w:t>
            </w:r>
          </w:p>
        </w:tc>
      </w:tr>
      <w:tr w:rsidR="00252F43" w:rsidRPr="00870D7F" w:rsidTr="00252F43">
        <w:tc>
          <w:tcPr>
            <w:tcW w:w="9363" w:type="dxa"/>
            <w:gridSpan w:val="11"/>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252F43" w:rsidRPr="00870D7F" w:rsidRDefault="00252F43">
            <w:pPr>
              <w:rPr>
                <w:i/>
                <w:lang w:eastAsia="en-US"/>
              </w:rPr>
            </w:pPr>
            <w:r w:rsidRPr="00870D7F">
              <w:rPr>
                <w:i/>
                <w:lang w:eastAsia="en-US"/>
              </w:rPr>
              <w:t>Uveďte termín, kedy by malo dôjsť k preskúmaniu účinnosti a účelnosti navrhovaného predpisu.</w:t>
            </w:r>
          </w:p>
          <w:p w:rsidR="00252F43" w:rsidRPr="00870D7F" w:rsidRDefault="00252F43">
            <w:pPr>
              <w:rPr>
                <w:i/>
                <w:lang w:eastAsia="en-US"/>
              </w:rPr>
            </w:pPr>
            <w:r w:rsidRPr="00870D7F">
              <w:rPr>
                <w:i/>
                <w:lang w:eastAsia="en-US"/>
              </w:rPr>
              <w:t>Uveďte kritériá, na základe ktorých bude preskúmanie vykonané.</w:t>
            </w:r>
          </w:p>
          <w:p w:rsidR="00252F43" w:rsidRDefault="0013792F">
            <w:pPr>
              <w:rPr>
                <w:lang w:eastAsia="en-US"/>
              </w:rPr>
            </w:pPr>
            <w:r>
              <w:rPr>
                <w:lang w:eastAsia="en-US"/>
              </w:rPr>
              <w:t>---</w:t>
            </w:r>
          </w:p>
          <w:p w:rsidR="00386BDF" w:rsidRPr="00870D7F" w:rsidRDefault="00386BDF">
            <w:pPr>
              <w:rPr>
                <w:i/>
                <w:lang w:eastAsia="en-US"/>
              </w:rPr>
            </w:pPr>
          </w:p>
        </w:tc>
      </w:tr>
      <w:tr w:rsidR="00252F43" w:rsidRPr="00870D7F" w:rsidTr="00252F43">
        <w:trPr>
          <w:trHeight w:val="715"/>
        </w:trPr>
        <w:tc>
          <w:tcPr>
            <w:tcW w:w="9363" w:type="dxa"/>
            <w:gridSpan w:val="11"/>
            <w:tcBorders>
              <w:top w:val="single" w:sz="4" w:space="0" w:color="auto"/>
              <w:left w:val="nil"/>
              <w:bottom w:val="nil"/>
              <w:right w:val="nil"/>
            </w:tcBorders>
            <w:shd w:val="clear" w:color="auto" w:fill="FFFFFF" w:themeFill="background1"/>
            <w:hideMark/>
          </w:tcPr>
          <w:p w:rsidR="00252F43" w:rsidRPr="00870D7F" w:rsidRDefault="00252F43">
            <w:pPr>
              <w:ind w:left="142" w:hanging="142"/>
              <w:rPr>
                <w:lang w:eastAsia="en-US"/>
              </w:rPr>
            </w:pPr>
            <w:r w:rsidRPr="00870D7F">
              <w:rPr>
                <w:lang w:eastAsia="en-US"/>
              </w:rPr>
              <w:t>* vyplniť iba v prípade, ak materiál nie je zahrnutý do Plánu práce vlády Slovenskej republiky alebo Plánu</w:t>
            </w:r>
            <w:r w:rsidR="00006DDC" w:rsidRPr="00870D7F">
              <w:rPr>
                <w:lang w:eastAsia="en-US"/>
              </w:rPr>
              <w:t xml:space="preserve"> </w:t>
            </w:r>
            <w:r w:rsidRPr="00870D7F">
              <w:rPr>
                <w:lang w:eastAsia="en-US"/>
              </w:rPr>
              <w:t>legislatívnych úloh vlády Slovenskej republiky.</w:t>
            </w:r>
          </w:p>
          <w:p w:rsidR="00252F43" w:rsidRPr="00870D7F" w:rsidRDefault="00252F43">
            <w:pPr>
              <w:rPr>
                <w:lang w:eastAsia="en-US"/>
              </w:rPr>
            </w:pPr>
            <w:r w:rsidRPr="00870D7F">
              <w:rPr>
                <w:lang w:eastAsia="en-US"/>
              </w:rPr>
              <w:t>** nepovinné</w:t>
            </w:r>
          </w:p>
        </w:tc>
      </w:tr>
      <w:tr w:rsidR="00252F43" w:rsidRPr="00870D7F" w:rsidTr="00252F43">
        <w:tc>
          <w:tcPr>
            <w:tcW w:w="9363" w:type="dxa"/>
            <w:gridSpan w:val="11"/>
            <w:tcBorders>
              <w:top w:val="nil"/>
              <w:left w:val="nil"/>
              <w:bottom w:val="single" w:sz="4" w:space="0" w:color="auto"/>
              <w:right w:val="nil"/>
            </w:tcBorders>
            <w:shd w:val="clear" w:color="auto" w:fill="FFFFFF" w:themeFill="background1"/>
          </w:tcPr>
          <w:p w:rsidR="00252F43" w:rsidRPr="00870D7F" w:rsidRDefault="00252F43">
            <w:pPr>
              <w:rPr>
                <w:b/>
                <w:lang w:eastAsia="en-US"/>
              </w:rPr>
            </w:pPr>
          </w:p>
        </w:tc>
      </w:tr>
      <w:tr w:rsidR="00252F43" w:rsidRPr="00870D7F" w:rsidTr="00252F43">
        <w:trPr>
          <w:trHeight w:val="577"/>
        </w:trPr>
        <w:tc>
          <w:tcPr>
            <w:tcW w:w="9363" w:type="dxa"/>
            <w:gridSpan w:val="11"/>
            <w:tcBorders>
              <w:top w:val="single" w:sz="4" w:space="0" w:color="auto"/>
              <w:left w:val="single" w:sz="4" w:space="0" w:color="auto"/>
              <w:bottom w:val="single" w:sz="4" w:space="0" w:color="FFFFFF" w:themeColor="background1"/>
              <w:right w:val="single" w:sz="4" w:space="0" w:color="auto"/>
            </w:tcBorders>
            <w:shd w:val="clear" w:color="auto" w:fill="E2E2E2"/>
            <w:vAlign w:val="center"/>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t>Vplyvy navrhovaného materiálu</w:t>
            </w:r>
          </w:p>
        </w:tc>
      </w:tr>
      <w:tr w:rsidR="00252F43" w:rsidRPr="00870D7F" w:rsidTr="00252F43">
        <w:tc>
          <w:tcPr>
            <w:tcW w:w="3514" w:type="dxa"/>
            <w:tcBorders>
              <w:top w:val="single" w:sz="4" w:space="0" w:color="auto"/>
              <w:left w:val="single" w:sz="4" w:space="0" w:color="auto"/>
              <w:bottom w:val="nil"/>
              <w:right w:val="single" w:sz="4" w:space="0" w:color="auto"/>
            </w:tcBorders>
            <w:shd w:val="clear" w:color="auto" w:fill="E2E2E2"/>
            <w:hideMark/>
          </w:tcPr>
          <w:p w:rsidR="00252F43" w:rsidRPr="00870D7F" w:rsidRDefault="00252F43">
            <w:pPr>
              <w:rPr>
                <w:b/>
                <w:lang w:eastAsia="en-US"/>
              </w:rPr>
            </w:pPr>
            <w:r w:rsidRPr="00870D7F">
              <w:rPr>
                <w:b/>
                <w:lang w:eastAsia="en-US"/>
              </w:rPr>
              <w:t>Vplyvy na rozpočet verejnej správy</w:t>
            </w:r>
          </w:p>
        </w:tc>
        <w:tc>
          <w:tcPr>
            <w:tcW w:w="525" w:type="dxa"/>
            <w:gridSpan w:val="2"/>
            <w:tcBorders>
              <w:top w:val="single" w:sz="4" w:space="0" w:color="auto"/>
              <w:left w:val="single" w:sz="4" w:space="0" w:color="auto"/>
              <w:bottom w:val="single" w:sz="4" w:space="0" w:color="auto"/>
              <w:right w:val="nil"/>
            </w:tcBorders>
            <w:hideMark/>
          </w:tcPr>
          <w:p w:rsidR="00252F43" w:rsidRPr="00870D7F" w:rsidRDefault="00006DDC">
            <w:pPr>
              <w:jc w:val="center"/>
              <w:rPr>
                <w:b/>
                <w:lang w:eastAsia="en-US"/>
              </w:rPr>
            </w:pPr>
            <w:r w:rsidRPr="00870D7F">
              <w:rPr>
                <w:rFonts w:eastAsia="MS Mincho"/>
                <w:b/>
                <w:lang w:eastAsia="en-US"/>
              </w:rPr>
              <w:t>X</w:t>
            </w:r>
          </w:p>
        </w:tc>
        <w:tc>
          <w:tcPr>
            <w:tcW w:w="2152" w:type="dxa"/>
            <w:gridSpan w:val="3"/>
            <w:tcBorders>
              <w:top w:val="single" w:sz="4" w:space="0" w:color="auto"/>
              <w:left w:val="nil"/>
              <w:bottom w:val="single" w:sz="4" w:space="0" w:color="auto"/>
              <w:right w:val="nil"/>
            </w:tcBorders>
            <w:hideMark/>
          </w:tcPr>
          <w:p w:rsidR="00252F43" w:rsidRPr="00870D7F" w:rsidRDefault="00252F43">
            <w:pPr>
              <w:rPr>
                <w:b/>
                <w:lang w:eastAsia="en-US"/>
              </w:rPr>
            </w:pPr>
            <w:r w:rsidRPr="00870D7F">
              <w:rPr>
                <w:b/>
                <w:lang w:eastAsia="en-US"/>
              </w:rPr>
              <w:t>Pozitívne</w:t>
            </w:r>
          </w:p>
        </w:tc>
        <w:tc>
          <w:tcPr>
            <w:tcW w:w="417" w:type="dxa"/>
            <w:tcBorders>
              <w:top w:val="single" w:sz="4" w:space="0" w:color="auto"/>
              <w:left w:val="nil"/>
              <w:bottom w:val="single" w:sz="4" w:space="0" w:color="auto"/>
              <w:right w:val="nil"/>
            </w:tcBorders>
            <w:hideMark/>
          </w:tcPr>
          <w:p w:rsidR="00252F43" w:rsidRPr="00870D7F" w:rsidRDefault="00252F43">
            <w:pPr>
              <w:jc w:val="center"/>
              <w:rPr>
                <w:b/>
                <w:lang w:eastAsia="en-US"/>
              </w:rPr>
            </w:pPr>
            <w:r w:rsidRPr="00870D7F">
              <w:rPr>
                <w:rFonts w:ascii="Segoe UI Symbol" w:eastAsia="MS Mincho" w:hAnsi="Segoe UI Symbol" w:cs="Segoe UI Symbol"/>
                <w:lang w:eastAsia="en-US"/>
              </w:rPr>
              <w:t>☐</w:t>
            </w:r>
          </w:p>
        </w:tc>
        <w:tc>
          <w:tcPr>
            <w:tcW w:w="1097" w:type="dxa"/>
            <w:gridSpan w:val="2"/>
            <w:tcBorders>
              <w:top w:val="single" w:sz="4" w:space="0" w:color="auto"/>
              <w:left w:val="nil"/>
              <w:bottom w:val="single" w:sz="4" w:space="0" w:color="auto"/>
              <w:right w:val="nil"/>
            </w:tcBorders>
            <w:hideMark/>
          </w:tcPr>
          <w:p w:rsidR="00252F43" w:rsidRPr="00870D7F" w:rsidRDefault="00252F43">
            <w:pPr>
              <w:rPr>
                <w:b/>
                <w:lang w:eastAsia="en-US"/>
              </w:rPr>
            </w:pPr>
            <w:r w:rsidRPr="00870D7F">
              <w:rPr>
                <w:b/>
                <w:lang w:eastAsia="en-US"/>
              </w:rPr>
              <w:t>Žiadne</w:t>
            </w:r>
          </w:p>
        </w:tc>
        <w:tc>
          <w:tcPr>
            <w:tcW w:w="531" w:type="dxa"/>
            <w:tcBorders>
              <w:top w:val="single" w:sz="4" w:space="0" w:color="auto"/>
              <w:left w:val="nil"/>
              <w:bottom w:val="single" w:sz="4" w:space="0" w:color="auto"/>
              <w:right w:val="nil"/>
            </w:tcBorders>
            <w:hideMark/>
          </w:tcPr>
          <w:p w:rsidR="00252F43" w:rsidRPr="00870D7F" w:rsidRDefault="00252F43">
            <w:pPr>
              <w:ind w:left="-107" w:right="-108"/>
              <w:jc w:val="center"/>
              <w:rPr>
                <w:b/>
                <w:lang w:eastAsia="en-US"/>
              </w:rPr>
            </w:pPr>
            <w:r w:rsidRPr="00870D7F">
              <w:rPr>
                <w:rFonts w:eastAsia="MS Mincho"/>
                <w:b/>
                <w:lang w:eastAsia="en-US"/>
              </w:rPr>
              <w:t>X</w:t>
            </w:r>
          </w:p>
        </w:tc>
        <w:tc>
          <w:tcPr>
            <w:tcW w:w="1127" w:type="dxa"/>
            <w:tcBorders>
              <w:top w:val="single" w:sz="4" w:space="0" w:color="auto"/>
              <w:left w:val="nil"/>
              <w:bottom w:val="single" w:sz="4" w:space="0" w:color="auto"/>
              <w:right w:val="single" w:sz="4" w:space="0" w:color="auto"/>
            </w:tcBorders>
            <w:hideMark/>
          </w:tcPr>
          <w:p w:rsidR="00252F43" w:rsidRPr="00870D7F" w:rsidRDefault="00252F43">
            <w:pPr>
              <w:ind w:left="34"/>
              <w:rPr>
                <w:b/>
                <w:lang w:eastAsia="en-US"/>
              </w:rPr>
            </w:pPr>
            <w:r w:rsidRPr="00870D7F">
              <w:rPr>
                <w:b/>
                <w:lang w:eastAsia="en-US"/>
              </w:rPr>
              <w:t>Negatívne</w:t>
            </w:r>
          </w:p>
        </w:tc>
      </w:tr>
      <w:tr w:rsidR="00252F43" w:rsidRPr="00870D7F" w:rsidTr="00252F43">
        <w:tc>
          <w:tcPr>
            <w:tcW w:w="3514" w:type="dxa"/>
            <w:tcBorders>
              <w:top w:val="nil"/>
              <w:left w:val="single" w:sz="4" w:space="0" w:color="auto"/>
              <w:bottom w:val="single" w:sz="4" w:space="0" w:color="000000" w:themeColor="text1"/>
              <w:right w:val="single" w:sz="4" w:space="0" w:color="auto"/>
            </w:tcBorders>
            <w:shd w:val="clear" w:color="auto" w:fill="E2E2E2"/>
            <w:hideMark/>
          </w:tcPr>
          <w:p w:rsidR="00252F43" w:rsidRPr="00870D7F" w:rsidRDefault="00252F43">
            <w:pPr>
              <w:rPr>
                <w:lang w:eastAsia="en-US"/>
              </w:rPr>
            </w:pPr>
            <w:r w:rsidRPr="00870D7F">
              <w:rPr>
                <w:lang w:eastAsia="en-US"/>
              </w:rPr>
              <w:t>z toho rozpočtovo zabezpečené vplyvy</w:t>
            </w:r>
          </w:p>
        </w:tc>
        <w:tc>
          <w:tcPr>
            <w:tcW w:w="525" w:type="dxa"/>
            <w:gridSpan w:val="2"/>
            <w:tcBorders>
              <w:top w:val="single" w:sz="4" w:space="0" w:color="auto"/>
              <w:left w:val="single" w:sz="4" w:space="0" w:color="auto"/>
              <w:bottom w:val="single" w:sz="4" w:space="0" w:color="auto"/>
              <w:right w:val="nil"/>
            </w:tcBorders>
            <w:hideMark/>
          </w:tcPr>
          <w:p w:rsidR="00252F43" w:rsidRPr="00870D7F" w:rsidRDefault="00252F43">
            <w:pPr>
              <w:jc w:val="center"/>
              <w:rPr>
                <w:lang w:eastAsia="en-US"/>
              </w:rPr>
            </w:pPr>
            <w:r w:rsidRPr="00870D7F">
              <w:rPr>
                <w:rFonts w:ascii="Segoe UI Symbol" w:eastAsia="MS Mincho" w:hAnsi="Segoe UI Symbol" w:cs="Segoe UI Symbol"/>
                <w:lang w:eastAsia="en-US"/>
              </w:rPr>
              <w:t>☐</w:t>
            </w:r>
          </w:p>
        </w:tc>
        <w:tc>
          <w:tcPr>
            <w:tcW w:w="2152" w:type="dxa"/>
            <w:gridSpan w:val="3"/>
            <w:tcBorders>
              <w:top w:val="single" w:sz="4" w:space="0" w:color="auto"/>
              <w:left w:val="nil"/>
              <w:bottom w:val="single" w:sz="4" w:space="0" w:color="auto"/>
              <w:right w:val="nil"/>
            </w:tcBorders>
            <w:hideMark/>
          </w:tcPr>
          <w:p w:rsidR="00252F43" w:rsidRPr="00870D7F" w:rsidRDefault="00252F43">
            <w:pPr>
              <w:rPr>
                <w:lang w:eastAsia="en-US"/>
              </w:rPr>
            </w:pPr>
            <w:r w:rsidRPr="00870D7F">
              <w:rPr>
                <w:lang w:eastAsia="en-US"/>
              </w:rPr>
              <w:t>Áno</w:t>
            </w:r>
          </w:p>
        </w:tc>
        <w:tc>
          <w:tcPr>
            <w:tcW w:w="417" w:type="dxa"/>
            <w:tcBorders>
              <w:top w:val="single" w:sz="4" w:space="0" w:color="auto"/>
              <w:left w:val="nil"/>
              <w:bottom w:val="single" w:sz="4" w:space="0" w:color="auto"/>
              <w:right w:val="nil"/>
            </w:tcBorders>
            <w:hideMark/>
          </w:tcPr>
          <w:p w:rsidR="00252F43" w:rsidRPr="00870D7F" w:rsidRDefault="00252F43">
            <w:pPr>
              <w:jc w:val="center"/>
              <w:rPr>
                <w:lang w:eastAsia="en-US"/>
              </w:rPr>
            </w:pPr>
            <w:r w:rsidRPr="00870D7F">
              <w:rPr>
                <w:rFonts w:ascii="Segoe UI Symbol" w:eastAsia="MS Mincho" w:hAnsi="Segoe UI Symbol" w:cs="Segoe UI Symbol"/>
                <w:lang w:eastAsia="en-US"/>
              </w:rPr>
              <w:t>☐</w:t>
            </w:r>
          </w:p>
        </w:tc>
        <w:tc>
          <w:tcPr>
            <w:tcW w:w="1097" w:type="dxa"/>
            <w:gridSpan w:val="2"/>
            <w:tcBorders>
              <w:top w:val="single" w:sz="4" w:space="0" w:color="auto"/>
              <w:left w:val="nil"/>
              <w:bottom w:val="single" w:sz="4" w:space="0" w:color="auto"/>
              <w:right w:val="nil"/>
            </w:tcBorders>
            <w:hideMark/>
          </w:tcPr>
          <w:p w:rsidR="00252F43" w:rsidRPr="00870D7F" w:rsidRDefault="00252F43">
            <w:pPr>
              <w:rPr>
                <w:lang w:eastAsia="en-US"/>
              </w:rPr>
            </w:pPr>
            <w:r w:rsidRPr="00870D7F">
              <w:rPr>
                <w:lang w:eastAsia="en-US"/>
              </w:rPr>
              <w:t>Nie</w:t>
            </w:r>
          </w:p>
        </w:tc>
        <w:tc>
          <w:tcPr>
            <w:tcW w:w="531" w:type="dxa"/>
            <w:tcBorders>
              <w:top w:val="single" w:sz="4" w:space="0" w:color="auto"/>
              <w:left w:val="nil"/>
              <w:bottom w:val="single" w:sz="4" w:space="0" w:color="auto"/>
              <w:right w:val="nil"/>
            </w:tcBorders>
            <w:hideMark/>
          </w:tcPr>
          <w:p w:rsidR="00252F43" w:rsidRPr="00870D7F" w:rsidRDefault="00252F43">
            <w:pPr>
              <w:ind w:left="-107" w:right="-108"/>
              <w:jc w:val="center"/>
              <w:rPr>
                <w:lang w:eastAsia="en-US"/>
              </w:rPr>
            </w:pPr>
            <w:r w:rsidRPr="00870D7F">
              <w:rPr>
                <w:rFonts w:eastAsia="MS Mincho"/>
                <w:b/>
                <w:lang w:eastAsia="en-US"/>
              </w:rPr>
              <w:t>X</w:t>
            </w:r>
          </w:p>
        </w:tc>
        <w:tc>
          <w:tcPr>
            <w:tcW w:w="1127" w:type="dxa"/>
            <w:tcBorders>
              <w:top w:val="single" w:sz="4" w:space="0" w:color="auto"/>
              <w:left w:val="nil"/>
              <w:bottom w:val="single" w:sz="4" w:space="0" w:color="auto"/>
              <w:right w:val="single" w:sz="4" w:space="0" w:color="auto"/>
            </w:tcBorders>
            <w:hideMark/>
          </w:tcPr>
          <w:p w:rsidR="00252F43" w:rsidRPr="00870D7F" w:rsidRDefault="00252F43">
            <w:pPr>
              <w:ind w:left="34"/>
              <w:rPr>
                <w:lang w:eastAsia="en-US"/>
              </w:rPr>
            </w:pPr>
            <w:r w:rsidRPr="00870D7F">
              <w:rPr>
                <w:lang w:eastAsia="en-US"/>
              </w:rPr>
              <w:t>Čiastočne</w:t>
            </w:r>
          </w:p>
        </w:tc>
      </w:tr>
      <w:tr w:rsidR="00252F43" w:rsidRPr="00870D7F" w:rsidTr="00252F43">
        <w:tc>
          <w:tcPr>
            <w:tcW w:w="3514" w:type="dxa"/>
            <w:tcBorders>
              <w:top w:val="single" w:sz="4" w:space="0" w:color="000000" w:themeColor="text1"/>
              <w:left w:val="single" w:sz="4" w:space="0" w:color="auto"/>
              <w:bottom w:val="nil"/>
              <w:right w:val="single" w:sz="4" w:space="0" w:color="auto"/>
            </w:tcBorders>
            <w:shd w:val="clear" w:color="auto" w:fill="E2E2E2"/>
            <w:hideMark/>
          </w:tcPr>
          <w:p w:rsidR="00252F43" w:rsidRPr="00870D7F" w:rsidRDefault="00252F43">
            <w:pPr>
              <w:rPr>
                <w:b/>
                <w:lang w:eastAsia="en-US"/>
              </w:rPr>
            </w:pPr>
            <w:r w:rsidRPr="00870D7F">
              <w:rPr>
                <w:b/>
                <w:lang w:eastAsia="en-US"/>
              </w:rPr>
              <w:t>Vplyvy na podnikateľské prostredie</w:t>
            </w:r>
          </w:p>
        </w:tc>
        <w:tc>
          <w:tcPr>
            <w:tcW w:w="525" w:type="dxa"/>
            <w:gridSpan w:val="2"/>
            <w:tcBorders>
              <w:top w:val="single" w:sz="4" w:space="0" w:color="auto"/>
              <w:left w:val="single" w:sz="4" w:space="0" w:color="auto"/>
              <w:bottom w:val="single" w:sz="4" w:space="0" w:color="auto"/>
              <w:right w:val="nil"/>
            </w:tcBorders>
            <w:hideMark/>
          </w:tcPr>
          <w:p w:rsidR="00252F43" w:rsidRPr="00870D7F" w:rsidRDefault="00125C02">
            <w:pPr>
              <w:jc w:val="center"/>
              <w:rPr>
                <w:b/>
                <w:lang w:eastAsia="en-US"/>
              </w:rPr>
            </w:pPr>
            <w:r w:rsidRPr="00870D7F">
              <w:rPr>
                <w:rFonts w:eastAsia="MS Mincho"/>
                <w:b/>
                <w:lang w:eastAsia="en-US"/>
              </w:rPr>
              <w:t>X</w:t>
            </w:r>
          </w:p>
        </w:tc>
        <w:tc>
          <w:tcPr>
            <w:tcW w:w="2152" w:type="dxa"/>
            <w:gridSpan w:val="3"/>
            <w:tcBorders>
              <w:top w:val="single" w:sz="4" w:space="0" w:color="auto"/>
              <w:left w:val="nil"/>
              <w:bottom w:val="single" w:sz="4" w:space="0" w:color="auto"/>
              <w:right w:val="nil"/>
            </w:tcBorders>
            <w:hideMark/>
          </w:tcPr>
          <w:p w:rsidR="00252F43" w:rsidRPr="00870D7F" w:rsidRDefault="00252F43">
            <w:pPr>
              <w:ind w:right="-108"/>
              <w:rPr>
                <w:b/>
                <w:lang w:eastAsia="en-US"/>
              </w:rPr>
            </w:pPr>
            <w:r w:rsidRPr="00870D7F">
              <w:rPr>
                <w:b/>
                <w:lang w:eastAsia="en-US"/>
              </w:rPr>
              <w:t>Pozitívne</w:t>
            </w:r>
          </w:p>
        </w:tc>
        <w:tc>
          <w:tcPr>
            <w:tcW w:w="417" w:type="dxa"/>
            <w:tcBorders>
              <w:top w:val="single" w:sz="4" w:space="0" w:color="auto"/>
              <w:left w:val="nil"/>
              <w:bottom w:val="single" w:sz="4" w:space="0" w:color="auto"/>
              <w:right w:val="nil"/>
            </w:tcBorders>
            <w:hideMark/>
          </w:tcPr>
          <w:p w:rsidR="00252F43" w:rsidRPr="00870D7F" w:rsidRDefault="00252F43">
            <w:pPr>
              <w:jc w:val="center"/>
              <w:rPr>
                <w:b/>
                <w:lang w:eastAsia="en-US"/>
              </w:rPr>
            </w:pPr>
            <w:r w:rsidRPr="00870D7F">
              <w:rPr>
                <w:rFonts w:ascii="Segoe UI Symbol" w:eastAsia="MS Mincho" w:hAnsi="Segoe UI Symbol" w:cs="Segoe UI Symbol"/>
                <w:b/>
                <w:lang w:eastAsia="en-US"/>
              </w:rPr>
              <w:t>☐</w:t>
            </w:r>
          </w:p>
        </w:tc>
        <w:tc>
          <w:tcPr>
            <w:tcW w:w="1097" w:type="dxa"/>
            <w:gridSpan w:val="2"/>
            <w:tcBorders>
              <w:top w:val="single" w:sz="4" w:space="0" w:color="auto"/>
              <w:left w:val="nil"/>
              <w:bottom w:val="single" w:sz="4" w:space="0" w:color="auto"/>
              <w:right w:val="nil"/>
            </w:tcBorders>
            <w:hideMark/>
          </w:tcPr>
          <w:p w:rsidR="00252F43" w:rsidRPr="00870D7F" w:rsidRDefault="00252F43">
            <w:pPr>
              <w:rPr>
                <w:b/>
                <w:lang w:eastAsia="en-US"/>
              </w:rPr>
            </w:pPr>
            <w:r w:rsidRPr="00870D7F">
              <w:rPr>
                <w:b/>
                <w:lang w:eastAsia="en-US"/>
              </w:rPr>
              <w:t>Žiadne</w:t>
            </w:r>
          </w:p>
        </w:tc>
        <w:tc>
          <w:tcPr>
            <w:tcW w:w="531" w:type="dxa"/>
            <w:tcBorders>
              <w:top w:val="single" w:sz="4" w:space="0" w:color="auto"/>
              <w:left w:val="nil"/>
              <w:bottom w:val="single" w:sz="4" w:space="0" w:color="auto"/>
              <w:right w:val="nil"/>
            </w:tcBorders>
            <w:hideMark/>
          </w:tcPr>
          <w:p w:rsidR="00252F43" w:rsidRPr="00870D7F" w:rsidRDefault="00252F43">
            <w:pPr>
              <w:jc w:val="center"/>
              <w:rPr>
                <w:b/>
                <w:lang w:eastAsia="en-US"/>
              </w:rPr>
            </w:pPr>
            <w:r w:rsidRPr="00870D7F">
              <w:rPr>
                <w:rFonts w:eastAsia="MS Mincho"/>
                <w:b/>
                <w:lang w:eastAsia="en-US"/>
              </w:rPr>
              <w:t>X</w:t>
            </w:r>
          </w:p>
        </w:tc>
        <w:tc>
          <w:tcPr>
            <w:tcW w:w="1127" w:type="dxa"/>
            <w:tcBorders>
              <w:top w:val="single" w:sz="4" w:space="0" w:color="auto"/>
              <w:left w:val="nil"/>
              <w:bottom w:val="single" w:sz="4" w:space="0" w:color="auto"/>
              <w:right w:val="single" w:sz="4" w:space="0" w:color="auto"/>
            </w:tcBorders>
            <w:hideMark/>
          </w:tcPr>
          <w:p w:rsidR="00252F43" w:rsidRPr="00870D7F" w:rsidRDefault="00252F43">
            <w:pPr>
              <w:ind w:left="54"/>
              <w:rPr>
                <w:b/>
                <w:lang w:eastAsia="en-US"/>
              </w:rPr>
            </w:pPr>
            <w:r w:rsidRPr="00870D7F">
              <w:rPr>
                <w:b/>
                <w:lang w:eastAsia="en-US"/>
              </w:rPr>
              <w:t>Negatívne</w:t>
            </w:r>
          </w:p>
        </w:tc>
      </w:tr>
      <w:tr w:rsidR="00252F43" w:rsidRPr="00870D7F" w:rsidTr="00252F43">
        <w:tc>
          <w:tcPr>
            <w:tcW w:w="3514" w:type="dxa"/>
            <w:tcBorders>
              <w:top w:val="nil"/>
              <w:left w:val="single" w:sz="4" w:space="0" w:color="000000" w:themeColor="text1"/>
              <w:bottom w:val="single" w:sz="4" w:space="0" w:color="000000" w:themeColor="text1"/>
              <w:right w:val="single" w:sz="4" w:space="0" w:color="000000" w:themeColor="text1"/>
            </w:tcBorders>
            <w:shd w:val="clear" w:color="auto" w:fill="E2E2E2"/>
            <w:hideMark/>
          </w:tcPr>
          <w:p w:rsidR="00252F43" w:rsidRPr="00870D7F" w:rsidRDefault="00252F43">
            <w:pPr>
              <w:rPr>
                <w:lang w:eastAsia="en-US"/>
              </w:rPr>
            </w:pPr>
            <w:r w:rsidRPr="00870D7F">
              <w:rPr>
                <w:lang w:eastAsia="en-US"/>
              </w:rPr>
              <w:t>z toho vplyvy na MSP</w:t>
            </w:r>
          </w:p>
        </w:tc>
        <w:tc>
          <w:tcPr>
            <w:tcW w:w="525" w:type="dxa"/>
            <w:gridSpan w:val="2"/>
            <w:tcBorders>
              <w:top w:val="single" w:sz="4" w:space="0" w:color="auto"/>
              <w:left w:val="single" w:sz="4" w:space="0" w:color="000000" w:themeColor="text1"/>
              <w:bottom w:val="single" w:sz="4" w:space="0" w:color="auto"/>
              <w:right w:val="nil"/>
            </w:tcBorders>
            <w:hideMark/>
          </w:tcPr>
          <w:p w:rsidR="00252F43" w:rsidRPr="00870D7F" w:rsidRDefault="00252F43">
            <w:pPr>
              <w:jc w:val="center"/>
              <w:rPr>
                <w:lang w:eastAsia="en-US"/>
              </w:rPr>
            </w:pPr>
            <w:r w:rsidRPr="00870D7F">
              <w:rPr>
                <w:rFonts w:ascii="Segoe UI Symbol" w:eastAsia="MS Mincho" w:hAnsi="Segoe UI Symbol" w:cs="Segoe UI Symbol"/>
                <w:lang w:eastAsia="en-US"/>
              </w:rPr>
              <w:t>☐</w:t>
            </w:r>
          </w:p>
        </w:tc>
        <w:tc>
          <w:tcPr>
            <w:tcW w:w="2152" w:type="dxa"/>
            <w:gridSpan w:val="3"/>
            <w:tcBorders>
              <w:top w:val="single" w:sz="4" w:space="0" w:color="auto"/>
              <w:left w:val="nil"/>
              <w:bottom w:val="single" w:sz="4" w:space="0" w:color="auto"/>
              <w:right w:val="nil"/>
            </w:tcBorders>
            <w:hideMark/>
          </w:tcPr>
          <w:p w:rsidR="00252F43" w:rsidRPr="00870D7F" w:rsidRDefault="00252F43">
            <w:pPr>
              <w:ind w:right="-108"/>
              <w:rPr>
                <w:lang w:eastAsia="en-US"/>
              </w:rPr>
            </w:pPr>
            <w:r w:rsidRPr="00870D7F">
              <w:rPr>
                <w:lang w:eastAsia="en-US"/>
              </w:rPr>
              <w:t>Pozitívne</w:t>
            </w:r>
          </w:p>
        </w:tc>
        <w:tc>
          <w:tcPr>
            <w:tcW w:w="417" w:type="dxa"/>
            <w:tcBorders>
              <w:top w:val="single" w:sz="4" w:space="0" w:color="auto"/>
              <w:left w:val="nil"/>
              <w:bottom w:val="single" w:sz="4" w:space="0" w:color="auto"/>
              <w:right w:val="nil"/>
            </w:tcBorders>
            <w:hideMark/>
          </w:tcPr>
          <w:p w:rsidR="00252F43" w:rsidRPr="00870D7F" w:rsidRDefault="00252F43">
            <w:pPr>
              <w:jc w:val="center"/>
              <w:rPr>
                <w:lang w:eastAsia="en-US"/>
              </w:rPr>
            </w:pPr>
            <w:r w:rsidRPr="00870D7F">
              <w:rPr>
                <w:rFonts w:ascii="Segoe UI Symbol" w:eastAsia="MS Mincho" w:hAnsi="Segoe UI Symbol" w:cs="Segoe UI Symbol"/>
                <w:lang w:eastAsia="en-US"/>
              </w:rPr>
              <w:t>☐</w:t>
            </w:r>
          </w:p>
        </w:tc>
        <w:tc>
          <w:tcPr>
            <w:tcW w:w="1097" w:type="dxa"/>
            <w:gridSpan w:val="2"/>
            <w:tcBorders>
              <w:top w:val="single" w:sz="4" w:space="0" w:color="auto"/>
              <w:left w:val="nil"/>
              <w:bottom w:val="single" w:sz="4" w:space="0" w:color="auto"/>
              <w:right w:val="nil"/>
            </w:tcBorders>
            <w:hideMark/>
          </w:tcPr>
          <w:p w:rsidR="00252F43" w:rsidRPr="00870D7F" w:rsidRDefault="00252F43">
            <w:pPr>
              <w:rPr>
                <w:lang w:eastAsia="en-US"/>
              </w:rPr>
            </w:pPr>
            <w:r w:rsidRPr="00870D7F">
              <w:rPr>
                <w:lang w:eastAsia="en-US"/>
              </w:rPr>
              <w:t>Žiadne</w:t>
            </w:r>
          </w:p>
        </w:tc>
        <w:tc>
          <w:tcPr>
            <w:tcW w:w="531" w:type="dxa"/>
            <w:tcBorders>
              <w:top w:val="single" w:sz="4" w:space="0" w:color="auto"/>
              <w:left w:val="nil"/>
              <w:bottom w:val="single" w:sz="4" w:space="0" w:color="auto"/>
              <w:right w:val="nil"/>
            </w:tcBorders>
            <w:hideMark/>
          </w:tcPr>
          <w:p w:rsidR="00252F43" w:rsidRPr="00870D7F" w:rsidRDefault="00252F43">
            <w:pPr>
              <w:jc w:val="center"/>
              <w:rPr>
                <w:lang w:eastAsia="en-US"/>
              </w:rPr>
            </w:pPr>
            <w:r w:rsidRPr="00870D7F">
              <w:rPr>
                <w:rFonts w:ascii="Segoe UI Symbol" w:eastAsia="MS Mincho" w:hAnsi="Segoe UI Symbol" w:cs="Segoe UI Symbol"/>
                <w:lang w:eastAsia="en-US"/>
              </w:rPr>
              <w:t>☐</w:t>
            </w:r>
          </w:p>
        </w:tc>
        <w:tc>
          <w:tcPr>
            <w:tcW w:w="1127" w:type="dxa"/>
            <w:tcBorders>
              <w:top w:val="single" w:sz="4" w:space="0" w:color="auto"/>
              <w:left w:val="nil"/>
              <w:bottom w:val="single" w:sz="4" w:space="0" w:color="auto"/>
              <w:right w:val="single" w:sz="4" w:space="0" w:color="auto"/>
            </w:tcBorders>
            <w:hideMark/>
          </w:tcPr>
          <w:p w:rsidR="00252F43" w:rsidRPr="00870D7F" w:rsidRDefault="00252F43">
            <w:pPr>
              <w:ind w:left="54"/>
              <w:rPr>
                <w:lang w:eastAsia="en-US"/>
              </w:rPr>
            </w:pPr>
            <w:r w:rsidRPr="00870D7F">
              <w:rPr>
                <w:lang w:eastAsia="en-US"/>
              </w:rPr>
              <w:t>Negatívne</w:t>
            </w:r>
          </w:p>
        </w:tc>
      </w:tr>
      <w:tr w:rsidR="00252F43" w:rsidRPr="00870D7F" w:rsidTr="00252F43">
        <w:tc>
          <w:tcPr>
            <w:tcW w:w="3514" w:type="dxa"/>
            <w:tcBorders>
              <w:top w:val="single" w:sz="4" w:space="0" w:color="000000" w:themeColor="text1"/>
              <w:left w:val="single" w:sz="4" w:space="0" w:color="auto"/>
              <w:bottom w:val="single" w:sz="4" w:space="0" w:color="auto"/>
              <w:right w:val="single" w:sz="4" w:space="0" w:color="auto"/>
            </w:tcBorders>
            <w:shd w:val="clear" w:color="auto" w:fill="E2E2E2"/>
            <w:hideMark/>
          </w:tcPr>
          <w:p w:rsidR="00252F43" w:rsidRPr="00870D7F" w:rsidRDefault="00252F43">
            <w:pPr>
              <w:rPr>
                <w:b/>
                <w:lang w:eastAsia="en-US"/>
              </w:rPr>
            </w:pPr>
            <w:r w:rsidRPr="00870D7F">
              <w:rPr>
                <w:b/>
                <w:lang w:eastAsia="en-US"/>
              </w:rPr>
              <w:t>Sociálne vplyvy</w:t>
            </w:r>
          </w:p>
        </w:tc>
        <w:tc>
          <w:tcPr>
            <w:tcW w:w="525" w:type="dxa"/>
            <w:gridSpan w:val="2"/>
            <w:tcBorders>
              <w:top w:val="single" w:sz="4" w:space="0" w:color="auto"/>
              <w:left w:val="single" w:sz="4" w:space="0" w:color="auto"/>
              <w:bottom w:val="single" w:sz="4" w:space="0" w:color="auto"/>
              <w:right w:val="nil"/>
            </w:tcBorders>
            <w:hideMark/>
          </w:tcPr>
          <w:p w:rsidR="00252F43" w:rsidRPr="00870D7F" w:rsidRDefault="00252F43">
            <w:pPr>
              <w:jc w:val="center"/>
              <w:rPr>
                <w:b/>
                <w:lang w:eastAsia="en-US"/>
              </w:rPr>
            </w:pPr>
            <w:r w:rsidRPr="00870D7F">
              <w:rPr>
                <w:rFonts w:ascii="Segoe UI Symbol" w:eastAsia="MS Mincho" w:hAnsi="Segoe UI Symbol" w:cs="Segoe UI Symbol"/>
                <w:b/>
                <w:lang w:eastAsia="en-US"/>
              </w:rPr>
              <w:t>☐</w:t>
            </w:r>
          </w:p>
        </w:tc>
        <w:tc>
          <w:tcPr>
            <w:tcW w:w="2152" w:type="dxa"/>
            <w:gridSpan w:val="3"/>
            <w:tcBorders>
              <w:top w:val="single" w:sz="4" w:space="0" w:color="auto"/>
              <w:left w:val="nil"/>
              <w:bottom w:val="single" w:sz="4" w:space="0" w:color="auto"/>
              <w:right w:val="nil"/>
            </w:tcBorders>
            <w:hideMark/>
          </w:tcPr>
          <w:p w:rsidR="00252F43" w:rsidRPr="00870D7F" w:rsidRDefault="00252F43">
            <w:pPr>
              <w:ind w:right="-108"/>
              <w:rPr>
                <w:b/>
                <w:lang w:eastAsia="en-US"/>
              </w:rPr>
            </w:pPr>
            <w:r w:rsidRPr="00870D7F">
              <w:rPr>
                <w:b/>
                <w:lang w:eastAsia="en-US"/>
              </w:rPr>
              <w:t>Pozitívne</w:t>
            </w:r>
          </w:p>
        </w:tc>
        <w:tc>
          <w:tcPr>
            <w:tcW w:w="417" w:type="dxa"/>
            <w:tcBorders>
              <w:top w:val="single" w:sz="4" w:space="0" w:color="auto"/>
              <w:left w:val="nil"/>
              <w:bottom w:val="single" w:sz="4" w:space="0" w:color="auto"/>
              <w:right w:val="nil"/>
            </w:tcBorders>
            <w:hideMark/>
          </w:tcPr>
          <w:p w:rsidR="00252F43" w:rsidRPr="00870D7F" w:rsidRDefault="00252F43">
            <w:pPr>
              <w:jc w:val="center"/>
              <w:rPr>
                <w:b/>
                <w:lang w:eastAsia="en-US"/>
              </w:rPr>
            </w:pPr>
            <w:r w:rsidRPr="00870D7F">
              <w:rPr>
                <w:rFonts w:eastAsia="MS Mincho"/>
                <w:b/>
                <w:lang w:eastAsia="en-US"/>
              </w:rPr>
              <w:t>X</w:t>
            </w:r>
          </w:p>
        </w:tc>
        <w:tc>
          <w:tcPr>
            <w:tcW w:w="1097" w:type="dxa"/>
            <w:gridSpan w:val="2"/>
            <w:tcBorders>
              <w:top w:val="single" w:sz="4" w:space="0" w:color="auto"/>
              <w:left w:val="nil"/>
              <w:bottom w:val="single" w:sz="4" w:space="0" w:color="auto"/>
              <w:right w:val="nil"/>
            </w:tcBorders>
            <w:hideMark/>
          </w:tcPr>
          <w:p w:rsidR="00252F43" w:rsidRPr="00870D7F" w:rsidRDefault="00252F43">
            <w:pPr>
              <w:rPr>
                <w:b/>
                <w:lang w:eastAsia="en-US"/>
              </w:rPr>
            </w:pPr>
            <w:r w:rsidRPr="00870D7F">
              <w:rPr>
                <w:b/>
                <w:lang w:eastAsia="en-US"/>
              </w:rPr>
              <w:t>Žiadne</w:t>
            </w:r>
          </w:p>
        </w:tc>
        <w:tc>
          <w:tcPr>
            <w:tcW w:w="531" w:type="dxa"/>
            <w:tcBorders>
              <w:top w:val="single" w:sz="4" w:space="0" w:color="auto"/>
              <w:left w:val="nil"/>
              <w:bottom w:val="single" w:sz="4" w:space="0" w:color="auto"/>
              <w:right w:val="nil"/>
            </w:tcBorders>
            <w:hideMark/>
          </w:tcPr>
          <w:p w:rsidR="00252F43" w:rsidRPr="00870D7F" w:rsidRDefault="00252F43">
            <w:pPr>
              <w:jc w:val="center"/>
              <w:rPr>
                <w:b/>
                <w:lang w:eastAsia="en-US"/>
              </w:rPr>
            </w:pPr>
            <w:r w:rsidRPr="00870D7F">
              <w:rPr>
                <w:rFonts w:ascii="Segoe UI Symbol" w:eastAsia="MS Mincho" w:hAnsi="Segoe UI Symbol" w:cs="Segoe UI Symbol"/>
                <w:b/>
                <w:lang w:eastAsia="en-US"/>
              </w:rPr>
              <w:t>☐</w:t>
            </w:r>
          </w:p>
        </w:tc>
        <w:tc>
          <w:tcPr>
            <w:tcW w:w="1127" w:type="dxa"/>
            <w:tcBorders>
              <w:top w:val="single" w:sz="4" w:space="0" w:color="auto"/>
              <w:left w:val="nil"/>
              <w:bottom w:val="single" w:sz="4" w:space="0" w:color="auto"/>
              <w:right w:val="single" w:sz="4" w:space="0" w:color="auto"/>
            </w:tcBorders>
            <w:hideMark/>
          </w:tcPr>
          <w:p w:rsidR="00252F43" w:rsidRPr="00870D7F" w:rsidRDefault="00252F43">
            <w:pPr>
              <w:ind w:left="54"/>
              <w:rPr>
                <w:b/>
                <w:lang w:eastAsia="en-US"/>
              </w:rPr>
            </w:pPr>
            <w:r w:rsidRPr="00870D7F">
              <w:rPr>
                <w:b/>
                <w:lang w:eastAsia="en-US"/>
              </w:rPr>
              <w:t>Negatívne</w:t>
            </w:r>
          </w:p>
        </w:tc>
      </w:tr>
      <w:tr w:rsidR="00252F43" w:rsidRPr="00870D7F" w:rsidTr="00252F43">
        <w:tc>
          <w:tcPr>
            <w:tcW w:w="3514" w:type="dxa"/>
            <w:tcBorders>
              <w:top w:val="single" w:sz="4" w:space="0" w:color="auto"/>
              <w:left w:val="single" w:sz="4" w:space="0" w:color="auto"/>
              <w:bottom w:val="single" w:sz="4" w:space="0" w:color="auto"/>
              <w:right w:val="single" w:sz="4" w:space="0" w:color="auto"/>
            </w:tcBorders>
            <w:shd w:val="clear" w:color="auto" w:fill="E2E2E2"/>
            <w:hideMark/>
          </w:tcPr>
          <w:p w:rsidR="00252F43" w:rsidRPr="00870D7F" w:rsidRDefault="00252F43">
            <w:pPr>
              <w:rPr>
                <w:b/>
                <w:lang w:eastAsia="en-US"/>
              </w:rPr>
            </w:pPr>
            <w:r w:rsidRPr="00870D7F">
              <w:rPr>
                <w:b/>
                <w:lang w:eastAsia="en-US"/>
              </w:rPr>
              <w:t>Vplyvy na životné prostredie</w:t>
            </w:r>
          </w:p>
        </w:tc>
        <w:tc>
          <w:tcPr>
            <w:tcW w:w="525" w:type="dxa"/>
            <w:gridSpan w:val="2"/>
            <w:tcBorders>
              <w:top w:val="single" w:sz="4" w:space="0" w:color="auto"/>
              <w:left w:val="single" w:sz="4" w:space="0" w:color="auto"/>
              <w:bottom w:val="single" w:sz="4" w:space="0" w:color="auto"/>
              <w:right w:val="nil"/>
            </w:tcBorders>
            <w:hideMark/>
          </w:tcPr>
          <w:p w:rsidR="00252F43" w:rsidRPr="00870D7F" w:rsidRDefault="00252F43">
            <w:pPr>
              <w:jc w:val="center"/>
              <w:rPr>
                <w:b/>
                <w:lang w:eastAsia="en-US"/>
              </w:rPr>
            </w:pPr>
            <w:r w:rsidRPr="00870D7F">
              <w:rPr>
                <w:rFonts w:ascii="Segoe UI Symbol" w:eastAsia="MS Mincho" w:hAnsi="Segoe UI Symbol" w:cs="Segoe UI Symbol"/>
                <w:b/>
                <w:lang w:eastAsia="en-US"/>
              </w:rPr>
              <w:t>☐</w:t>
            </w:r>
          </w:p>
        </w:tc>
        <w:tc>
          <w:tcPr>
            <w:tcW w:w="2152" w:type="dxa"/>
            <w:gridSpan w:val="3"/>
            <w:tcBorders>
              <w:top w:val="single" w:sz="4" w:space="0" w:color="auto"/>
              <w:left w:val="nil"/>
              <w:bottom w:val="single" w:sz="4" w:space="0" w:color="auto"/>
              <w:right w:val="nil"/>
            </w:tcBorders>
            <w:hideMark/>
          </w:tcPr>
          <w:p w:rsidR="00252F43" w:rsidRPr="00870D7F" w:rsidRDefault="00252F43">
            <w:pPr>
              <w:ind w:right="-108"/>
              <w:rPr>
                <w:b/>
                <w:lang w:eastAsia="en-US"/>
              </w:rPr>
            </w:pPr>
            <w:r w:rsidRPr="00870D7F">
              <w:rPr>
                <w:b/>
                <w:lang w:eastAsia="en-US"/>
              </w:rPr>
              <w:t>Pozitívne</w:t>
            </w:r>
          </w:p>
        </w:tc>
        <w:tc>
          <w:tcPr>
            <w:tcW w:w="417" w:type="dxa"/>
            <w:tcBorders>
              <w:top w:val="single" w:sz="4" w:space="0" w:color="auto"/>
              <w:left w:val="nil"/>
              <w:bottom w:val="single" w:sz="4" w:space="0" w:color="auto"/>
              <w:right w:val="nil"/>
            </w:tcBorders>
            <w:hideMark/>
          </w:tcPr>
          <w:p w:rsidR="00252F43" w:rsidRPr="00870D7F" w:rsidRDefault="00252F43">
            <w:pPr>
              <w:jc w:val="center"/>
              <w:rPr>
                <w:b/>
                <w:lang w:eastAsia="en-US"/>
              </w:rPr>
            </w:pPr>
            <w:r w:rsidRPr="00870D7F">
              <w:rPr>
                <w:rFonts w:eastAsia="MS Mincho"/>
                <w:b/>
                <w:lang w:eastAsia="en-US"/>
              </w:rPr>
              <w:t>X</w:t>
            </w:r>
          </w:p>
        </w:tc>
        <w:tc>
          <w:tcPr>
            <w:tcW w:w="1097" w:type="dxa"/>
            <w:gridSpan w:val="2"/>
            <w:tcBorders>
              <w:top w:val="single" w:sz="4" w:space="0" w:color="auto"/>
              <w:left w:val="nil"/>
              <w:bottom w:val="single" w:sz="4" w:space="0" w:color="auto"/>
              <w:right w:val="nil"/>
            </w:tcBorders>
            <w:hideMark/>
          </w:tcPr>
          <w:p w:rsidR="00252F43" w:rsidRPr="00870D7F" w:rsidRDefault="00252F43">
            <w:pPr>
              <w:rPr>
                <w:b/>
                <w:lang w:eastAsia="en-US"/>
              </w:rPr>
            </w:pPr>
            <w:r w:rsidRPr="00870D7F">
              <w:rPr>
                <w:b/>
                <w:lang w:eastAsia="en-US"/>
              </w:rPr>
              <w:t>Žiadne</w:t>
            </w:r>
          </w:p>
        </w:tc>
        <w:tc>
          <w:tcPr>
            <w:tcW w:w="531" w:type="dxa"/>
            <w:tcBorders>
              <w:top w:val="single" w:sz="4" w:space="0" w:color="auto"/>
              <w:left w:val="nil"/>
              <w:bottom w:val="single" w:sz="4" w:space="0" w:color="auto"/>
              <w:right w:val="nil"/>
            </w:tcBorders>
            <w:hideMark/>
          </w:tcPr>
          <w:p w:rsidR="00252F43" w:rsidRPr="00870D7F" w:rsidRDefault="00252F43">
            <w:pPr>
              <w:jc w:val="center"/>
              <w:rPr>
                <w:b/>
                <w:lang w:eastAsia="en-US"/>
              </w:rPr>
            </w:pPr>
            <w:r w:rsidRPr="00870D7F">
              <w:rPr>
                <w:rFonts w:ascii="Segoe UI Symbol" w:eastAsia="MS Mincho" w:hAnsi="Segoe UI Symbol" w:cs="Segoe UI Symbol"/>
                <w:b/>
                <w:lang w:eastAsia="en-US"/>
              </w:rPr>
              <w:t>☐</w:t>
            </w:r>
          </w:p>
        </w:tc>
        <w:tc>
          <w:tcPr>
            <w:tcW w:w="1127" w:type="dxa"/>
            <w:tcBorders>
              <w:top w:val="single" w:sz="4" w:space="0" w:color="auto"/>
              <w:left w:val="nil"/>
              <w:bottom w:val="single" w:sz="4" w:space="0" w:color="auto"/>
              <w:right w:val="single" w:sz="4" w:space="0" w:color="auto"/>
            </w:tcBorders>
            <w:hideMark/>
          </w:tcPr>
          <w:p w:rsidR="00252F43" w:rsidRPr="00870D7F" w:rsidRDefault="00252F43">
            <w:pPr>
              <w:ind w:left="54"/>
              <w:rPr>
                <w:b/>
                <w:lang w:eastAsia="en-US"/>
              </w:rPr>
            </w:pPr>
            <w:r w:rsidRPr="00870D7F">
              <w:rPr>
                <w:b/>
                <w:lang w:eastAsia="en-US"/>
              </w:rPr>
              <w:t>Negatívne</w:t>
            </w:r>
          </w:p>
        </w:tc>
      </w:tr>
      <w:tr w:rsidR="00252F43" w:rsidRPr="00870D7F" w:rsidTr="00252F43">
        <w:tc>
          <w:tcPr>
            <w:tcW w:w="3514" w:type="dxa"/>
            <w:tcBorders>
              <w:top w:val="single" w:sz="4" w:space="0" w:color="auto"/>
              <w:left w:val="single" w:sz="4" w:space="0" w:color="auto"/>
              <w:bottom w:val="single" w:sz="4" w:space="0" w:color="auto"/>
              <w:right w:val="single" w:sz="4" w:space="0" w:color="auto"/>
            </w:tcBorders>
            <w:shd w:val="clear" w:color="auto" w:fill="E2E2E2"/>
            <w:hideMark/>
          </w:tcPr>
          <w:p w:rsidR="00252F43" w:rsidRPr="00870D7F" w:rsidRDefault="00252F43">
            <w:pPr>
              <w:rPr>
                <w:b/>
                <w:lang w:eastAsia="en-US"/>
              </w:rPr>
            </w:pPr>
            <w:r w:rsidRPr="00870D7F">
              <w:rPr>
                <w:b/>
                <w:lang w:eastAsia="en-US"/>
              </w:rPr>
              <w:t>Vplyvy na informatizáciu</w:t>
            </w:r>
          </w:p>
        </w:tc>
        <w:tc>
          <w:tcPr>
            <w:tcW w:w="525" w:type="dxa"/>
            <w:gridSpan w:val="2"/>
            <w:tcBorders>
              <w:top w:val="single" w:sz="4" w:space="0" w:color="auto"/>
              <w:left w:val="single" w:sz="4" w:space="0" w:color="auto"/>
              <w:bottom w:val="single" w:sz="4" w:space="0" w:color="auto"/>
              <w:right w:val="nil"/>
            </w:tcBorders>
            <w:hideMark/>
          </w:tcPr>
          <w:p w:rsidR="00252F43" w:rsidRPr="00870D7F" w:rsidRDefault="00252F43">
            <w:pPr>
              <w:jc w:val="center"/>
              <w:rPr>
                <w:b/>
                <w:lang w:eastAsia="en-US"/>
              </w:rPr>
            </w:pPr>
            <w:r w:rsidRPr="00870D7F">
              <w:rPr>
                <w:rFonts w:eastAsia="MS Mincho"/>
                <w:b/>
                <w:lang w:eastAsia="en-US"/>
              </w:rPr>
              <w:t>X</w:t>
            </w:r>
          </w:p>
        </w:tc>
        <w:tc>
          <w:tcPr>
            <w:tcW w:w="2152" w:type="dxa"/>
            <w:gridSpan w:val="3"/>
            <w:tcBorders>
              <w:top w:val="single" w:sz="4" w:space="0" w:color="auto"/>
              <w:left w:val="nil"/>
              <w:bottom w:val="single" w:sz="4" w:space="0" w:color="auto"/>
              <w:right w:val="nil"/>
            </w:tcBorders>
            <w:hideMark/>
          </w:tcPr>
          <w:p w:rsidR="00252F43" w:rsidRPr="00870D7F" w:rsidRDefault="00252F43">
            <w:pPr>
              <w:ind w:right="-108"/>
              <w:rPr>
                <w:b/>
                <w:lang w:eastAsia="en-US"/>
              </w:rPr>
            </w:pPr>
            <w:r w:rsidRPr="00870D7F">
              <w:rPr>
                <w:b/>
                <w:lang w:eastAsia="en-US"/>
              </w:rPr>
              <w:t>Pozitívne</w:t>
            </w:r>
          </w:p>
        </w:tc>
        <w:tc>
          <w:tcPr>
            <w:tcW w:w="417" w:type="dxa"/>
            <w:tcBorders>
              <w:top w:val="single" w:sz="4" w:space="0" w:color="auto"/>
              <w:left w:val="nil"/>
              <w:bottom w:val="single" w:sz="4" w:space="0" w:color="auto"/>
              <w:right w:val="nil"/>
            </w:tcBorders>
            <w:hideMark/>
          </w:tcPr>
          <w:p w:rsidR="00252F43" w:rsidRPr="00870D7F" w:rsidRDefault="00252F43">
            <w:pPr>
              <w:jc w:val="center"/>
              <w:rPr>
                <w:b/>
                <w:lang w:eastAsia="en-US"/>
              </w:rPr>
            </w:pPr>
            <w:r w:rsidRPr="00870D7F">
              <w:rPr>
                <w:rFonts w:ascii="Segoe UI Symbol" w:eastAsia="MS Mincho" w:hAnsi="Segoe UI Symbol" w:cs="Segoe UI Symbol"/>
                <w:b/>
                <w:lang w:eastAsia="en-US"/>
              </w:rPr>
              <w:t>☐</w:t>
            </w:r>
          </w:p>
        </w:tc>
        <w:tc>
          <w:tcPr>
            <w:tcW w:w="1097" w:type="dxa"/>
            <w:gridSpan w:val="2"/>
            <w:tcBorders>
              <w:top w:val="single" w:sz="4" w:space="0" w:color="auto"/>
              <w:left w:val="nil"/>
              <w:bottom w:val="single" w:sz="4" w:space="0" w:color="auto"/>
              <w:right w:val="nil"/>
            </w:tcBorders>
            <w:hideMark/>
          </w:tcPr>
          <w:p w:rsidR="00252F43" w:rsidRPr="00870D7F" w:rsidRDefault="00252F43">
            <w:pPr>
              <w:rPr>
                <w:b/>
                <w:lang w:eastAsia="en-US"/>
              </w:rPr>
            </w:pPr>
            <w:r w:rsidRPr="00870D7F">
              <w:rPr>
                <w:b/>
                <w:lang w:eastAsia="en-US"/>
              </w:rPr>
              <w:t>Žiadne</w:t>
            </w:r>
          </w:p>
        </w:tc>
        <w:tc>
          <w:tcPr>
            <w:tcW w:w="531" w:type="dxa"/>
            <w:tcBorders>
              <w:top w:val="single" w:sz="4" w:space="0" w:color="auto"/>
              <w:left w:val="nil"/>
              <w:bottom w:val="single" w:sz="4" w:space="0" w:color="auto"/>
              <w:right w:val="nil"/>
            </w:tcBorders>
            <w:hideMark/>
          </w:tcPr>
          <w:p w:rsidR="00252F43" w:rsidRPr="00870D7F" w:rsidRDefault="00252F43">
            <w:pPr>
              <w:jc w:val="center"/>
              <w:rPr>
                <w:b/>
                <w:lang w:eastAsia="en-US"/>
              </w:rPr>
            </w:pPr>
            <w:r w:rsidRPr="00870D7F">
              <w:rPr>
                <w:rFonts w:ascii="Segoe UI Symbol" w:eastAsia="MS Mincho" w:hAnsi="Segoe UI Symbol" w:cs="Segoe UI Symbol"/>
                <w:b/>
                <w:lang w:eastAsia="en-US"/>
              </w:rPr>
              <w:t>☐</w:t>
            </w:r>
          </w:p>
        </w:tc>
        <w:tc>
          <w:tcPr>
            <w:tcW w:w="1127" w:type="dxa"/>
            <w:tcBorders>
              <w:top w:val="single" w:sz="4" w:space="0" w:color="auto"/>
              <w:left w:val="nil"/>
              <w:bottom w:val="single" w:sz="4" w:space="0" w:color="auto"/>
              <w:right w:val="single" w:sz="4" w:space="0" w:color="auto"/>
            </w:tcBorders>
            <w:hideMark/>
          </w:tcPr>
          <w:p w:rsidR="00252F43" w:rsidRPr="00870D7F" w:rsidRDefault="00252F43">
            <w:pPr>
              <w:ind w:left="54"/>
              <w:rPr>
                <w:b/>
                <w:lang w:eastAsia="en-US"/>
              </w:rPr>
            </w:pPr>
            <w:r w:rsidRPr="00870D7F">
              <w:rPr>
                <w:b/>
                <w:lang w:eastAsia="en-US"/>
              </w:rPr>
              <w:t>Negatívne</w:t>
            </w:r>
          </w:p>
        </w:tc>
      </w:tr>
      <w:tr w:rsidR="00252F43" w:rsidRPr="00870D7F" w:rsidTr="00252F43">
        <w:tc>
          <w:tcPr>
            <w:tcW w:w="3514" w:type="dxa"/>
            <w:tcBorders>
              <w:top w:val="single" w:sz="4" w:space="0" w:color="auto"/>
              <w:left w:val="single" w:sz="4" w:space="0" w:color="auto"/>
              <w:bottom w:val="single" w:sz="4" w:space="0" w:color="auto"/>
              <w:right w:val="single" w:sz="4" w:space="0" w:color="auto"/>
            </w:tcBorders>
            <w:shd w:val="clear" w:color="auto" w:fill="E2E2E2"/>
            <w:hideMark/>
          </w:tcPr>
          <w:p w:rsidR="00252F43" w:rsidRPr="00870D7F" w:rsidRDefault="00252F43">
            <w:pPr>
              <w:rPr>
                <w:b/>
                <w:lang w:eastAsia="en-US"/>
              </w:rPr>
            </w:pPr>
            <w:r w:rsidRPr="00870D7F">
              <w:rPr>
                <w:b/>
                <w:lang w:eastAsia="en-US"/>
              </w:rPr>
              <w:t>Vplyv na služby verejnej správy a občana</w:t>
            </w:r>
          </w:p>
        </w:tc>
        <w:tc>
          <w:tcPr>
            <w:tcW w:w="525" w:type="dxa"/>
            <w:gridSpan w:val="2"/>
            <w:tcBorders>
              <w:top w:val="single" w:sz="4" w:space="0" w:color="auto"/>
              <w:left w:val="single" w:sz="4" w:space="0" w:color="auto"/>
              <w:bottom w:val="single" w:sz="4" w:space="0" w:color="auto"/>
              <w:right w:val="nil"/>
            </w:tcBorders>
            <w:hideMark/>
          </w:tcPr>
          <w:p w:rsidR="00252F43" w:rsidRPr="00870D7F" w:rsidRDefault="00252F43">
            <w:pPr>
              <w:jc w:val="center"/>
              <w:rPr>
                <w:rFonts w:eastAsia="MS Mincho"/>
                <w:b/>
                <w:lang w:eastAsia="en-US"/>
              </w:rPr>
            </w:pPr>
            <w:r w:rsidRPr="00870D7F">
              <w:rPr>
                <w:rFonts w:ascii="Segoe UI Symbol" w:eastAsia="MS Mincho" w:hAnsi="Segoe UI Symbol" w:cs="Segoe UI Symbol"/>
                <w:b/>
                <w:lang w:eastAsia="en-US"/>
              </w:rPr>
              <w:t>☐</w:t>
            </w:r>
          </w:p>
        </w:tc>
        <w:tc>
          <w:tcPr>
            <w:tcW w:w="2152" w:type="dxa"/>
            <w:gridSpan w:val="3"/>
            <w:tcBorders>
              <w:top w:val="single" w:sz="4" w:space="0" w:color="auto"/>
              <w:left w:val="nil"/>
              <w:bottom w:val="single" w:sz="4" w:space="0" w:color="auto"/>
              <w:right w:val="nil"/>
            </w:tcBorders>
            <w:hideMark/>
          </w:tcPr>
          <w:p w:rsidR="00252F43" w:rsidRPr="00870D7F" w:rsidRDefault="00252F43">
            <w:pPr>
              <w:ind w:right="-108"/>
              <w:rPr>
                <w:b/>
                <w:lang w:eastAsia="en-US"/>
              </w:rPr>
            </w:pPr>
            <w:r w:rsidRPr="00870D7F">
              <w:rPr>
                <w:b/>
                <w:lang w:eastAsia="en-US"/>
              </w:rPr>
              <w:t>Pozitívne</w:t>
            </w:r>
          </w:p>
        </w:tc>
        <w:tc>
          <w:tcPr>
            <w:tcW w:w="417" w:type="dxa"/>
            <w:tcBorders>
              <w:top w:val="single" w:sz="4" w:space="0" w:color="auto"/>
              <w:left w:val="nil"/>
              <w:bottom w:val="single" w:sz="4" w:space="0" w:color="auto"/>
              <w:right w:val="nil"/>
            </w:tcBorders>
            <w:hideMark/>
          </w:tcPr>
          <w:p w:rsidR="00252F43" w:rsidRPr="00870D7F" w:rsidRDefault="00252F43">
            <w:pPr>
              <w:jc w:val="center"/>
              <w:rPr>
                <w:rFonts w:eastAsia="MS Mincho"/>
                <w:b/>
                <w:lang w:eastAsia="en-US"/>
              </w:rPr>
            </w:pPr>
            <w:r w:rsidRPr="00870D7F">
              <w:rPr>
                <w:rFonts w:eastAsia="MS Mincho"/>
                <w:b/>
                <w:lang w:eastAsia="en-US"/>
              </w:rPr>
              <w:t>X</w:t>
            </w:r>
          </w:p>
        </w:tc>
        <w:tc>
          <w:tcPr>
            <w:tcW w:w="1097" w:type="dxa"/>
            <w:gridSpan w:val="2"/>
            <w:tcBorders>
              <w:top w:val="single" w:sz="4" w:space="0" w:color="auto"/>
              <w:left w:val="nil"/>
              <w:bottom w:val="single" w:sz="4" w:space="0" w:color="auto"/>
              <w:right w:val="nil"/>
            </w:tcBorders>
            <w:hideMark/>
          </w:tcPr>
          <w:p w:rsidR="00252F43" w:rsidRPr="00870D7F" w:rsidRDefault="00252F43">
            <w:pPr>
              <w:rPr>
                <w:b/>
                <w:lang w:eastAsia="en-US"/>
              </w:rPr>
            </w:pPr>
            <w:r w:rsidRPr="00870D7F">
              <w:rPr>
                <w:b/>
                <w:lang w:eastAsia="en-US"/>
              </w:rPr>
              <w:t>Žiadne</w:t>
            </w:r>
          </w:p>
        </w:tc>
        <w:tc>
          <w:tcPr>
            <w:tcW w:w="531" w:type="dxa"/>
            <w:tcBorders>
              <w:top w:val="single" w:sz="4" w:space="0" w:color="auto"/>
              <w:left w:val="nil"/>
              <w:bottom w:val="single" w:sz="4" w:space="0" w:color="auto"/>
              <w:right w:val="nil"/>
            </w:tcBorders>
            <w:hideMark/>
          </w:tcPr>
          <w:p w:rsidR="00252F43" w:rsidRPr="00870D7F" w:rsidRDefault="00252F43">
            <w:pPr>
              <w:jc w:val="center"/>
              <w:rPr>
                <w:rFonts w:eastAsia="MS Mincho"/>
                <w:b/>
                <w:lang w:eastAsia="en-US"/>
              </w:rPr>
            </w:pPr>
            <w:r w:rsidRPr="00870D7F">
              <w:rPr>
                <w:rFonts w:ascii="Segoe UI Symbol" w:eastAsia="MS Mincho" w:hAnsi="Segoe UI Symbol" w:cs="Segoe UI Symbol"/>
                <w:b/>
                <w:lang w:eastAsia="en-US"/>
              </w:rPr>
              <w:t>☐</w:t>
            </w:r>
          </w:p>
        </w:tc>
        <w:tc>
          <w:tcPr>
            <w:tcW w:w="1127" w:type="dxa"/>
            <w:tcBorders>
              <w:top w:val="single" w:sz="4" w:space="0" w:color="auto"/>
              <w:left w:val="nil"/>
              <w:bottom w:val="single" w:sz="4" w:space="0" w:color="auto"/>
              <w:right w:val="single" w:sz="4" w:space="0" w:color="auto"/>
            </w:tcBorders>
            <w:hideMark/>
          </w:tcPr>
          <w:p w:rsidR="00252F43" w:rsidRPr="00870D7F" w:rsidRDefault="00252F43">
            <w:pPr>
              <w:ind w:left="54"/>
              <w:rPr>
                <w:b/>
                <w:lang w:eastAsia="en-US"/>
              </w:rPr>
            </w:pPr>
            <w:r w:rsidRPr="00870D7F">
              <w:rPr>
                <w:b/>
                <w:lang w:eastAsia="en-US"/>
              </w:rPr>
              <w:t>Negatívne</w:t>
            </w:r>
          </w:p>
        </w:tc>
      </w:tr>
    </w:tbl>
    <w:p w:rsidR="00252F43" w:rsidRPr="00870D7F" w:rsidRDefault="00252F43" w:rsidP="00252F43">
      <w:pPr>
        <w:ind w:right="141"/>
        <w:rPr>
          <w:b/>
        </w:rPr>
      </w:pPr>
    </w:p>
    <w:tbl>
      <w:tblPr>
        <w:tblStyle w:val="Mriekatabuky"/>
        <w:tblW w:w="9351" w:type="dxa"/>
        <w:tblLayout w:type="fixed"/>
        <w:tblLook w:val="04A0" w:firstRow="1" w:lastRow="0" w:firstColumn="1" w:lastColumn="0" w:noHBand="0" w:noVBand="1"/>
      </w:tblPr>
      <w:tblGrid>
        <w:gridCol w:w="9351"/>
      </w:tblGrid>
      <w:tr w:rsidR="00252F43" w:rsidRPr="00870D7F" w:rsidTr="00386BDF">
        <w:tc>
          <w:tcPr>
            <w:tcW w:w="9351" w:type="dxa"/>
            <w:tcBorders>
              <w:top w:val="single" w:sz="4" w:space="0" w:color="auto"/>
              <w:left w:val="single" w:sz="4" w:space="0" w:color="auto"/>
              <w:bottom w:val="nil"/>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t>Poznámky</w:t>
            </w:r>
          </w:p>
        </w:tc>
      </w:tr>
      <w:tr w:rsidR="00252F43" w:rsidRPr="00870D7F" w:rsidTr="00386BDF">
        <w:trPr>
          <w:trHeight w:val="713"/>
        </w:trPr>
        <w:tc>
          <w:tcPr>
            <w:tcW w:w="9351" w:type="dxa"/>
            <w:tcBorders>
              <w:top w:val="nil"/>
              <w:left w:val="single" w:sz="4" w:space="0" w:color="auto"/>
              <w:bottom w:val="single" w:sz="4" w:space="0" w:color="FFFFFF" w:themeColor="background1"/>
              <w:right w:val="single" w:sz="4" w:space="0" w:color="auto"/>
            </w:tcBorders>
            <w:hideMark/>
          </w:tcPr>
          <w:p w:rsidR="00252F43" w:rsidRPr="00870D7F" w:rsidRDefault="00252F43">
            <w:pPr>
              <w:rPr>
                <w:i/>
                <w:lang w:eastAsia="en-US"/>
              </w:rPr>
            </w:pPr>
            <w:r w:rsidRPr="00870D7F">
              <w:rPr>
                <w:i/>
                <w:lang w:eastAsia="en-US"/>
              </w:rPr>
              <w:t>V prípade potreby uveďte doplňujúce informácie k návrhu.</w:t>
            </w:r>
          </w:p>
          <w:p w:rsidR="00252F43" w:rsidRPr="00870D7F" w:rsidRDefault="00252F43">
            <w:pPr>
              <w:rPr>
                <w:b/>
                <w:lang w:eastAsia="en-US"/>
              </w:rPr>
            </w:pPr>
            <w:r w:rsidRPr="00870D7F">
              <w:rPr>
                <w:b/>
                <w:lang w:eastAsia="en-US"/>
              </w:rPr>
              <w:t>-</w:t>
            </w:r>
          </w:p>
        </w:tc>
      </w:tr>
      <w:tr w:rsidR="00252F43" w:rsidRPr="00870D7F" w:rsidTr="00386BDF">
        <w:tc>
          <w:tcPr>
            <w:tcW w:w="9351" w:type="dxa"/>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t>Kontakt na spracovateľa</w:t>
            </w:r>
          </w:p>
        </w:tc>
      </w:tr>
      <w:tr w:rsidR="00252F43" w:rsidRPr="00870D7F" w:rsidTr="00386BDF">
        <w:trPr>
          <w:trHeight w:val="586"/>
        </w:trPr>
        <w:tc>
          <w:tcPr>
            <w:tcW w:w="9351"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252F43" w:rsidRPr="00870D7F" w:rsidRDefault="00252F43">
            <w:pPr>
              <w:rPr>
                <w:i/>
                <w:lang w:eastAsia="en-US"/>
              </w:rPr>
            </w:pPr>
            <w:r w:rsidRPr="00870D7F">
              <w:rPr>
                <w:i/>
                <w:lang w:eastAsia="en-US"/>
              </w:rPr>
              <w:t>Uveďte údaje na kontaktnú osobu, ktorú je možné kontaktovať v súvislosti s posúdením vybraných vplyvov</w:t>
            </w:r>
          </w:p>
          <w:p w:rsidR="00252F43" w:rsidRPr="00386BDF" w:rsidRDefault="00125C02">
            <w:pPr>
              <w:rPr>
                <w:b/>
                <w:lang w:eastAsia="en-US"/>
              </w:rPr>
            </w:pPr>
            <w:r w:rsidRPr="00386BDF">
              <w:rPr>
                <w:b/>
                <w:lang w:eastAsia="en-US"/>
              </w:rPr>
              <w:t xml:space="preserve">mjr. </w:t>
            </w:r>
            <w:r w:rsidR="0036748D" w:rsidRPr="00386BDF">
              <w:rPr>
                <w:b/>
                <w:lang w:eastAsia="en-US"/>
              </w:rPr>
              <w:t xml:space="preserve">JUDr. </w:t>
            </w:r>
            <w:r w:rsidRPr="00386BDF">
              <w:rPr>
                <w:b/>
                <w:lang w:eastAsia="en-US"/>
              </w:rPr>
              <w:t xml:space="preserve">Ing. </w:t>
            </w:r>
            <w:r w:rsidR="0036748D" w:rsidRPr="00386BDF">
              <w:rPr>
                <w:b/>
                <w:lang w:eastAsia="en-US"/>
              </w:rPr>
              <w:t>Alexandra Dianišková</w:t>
            </w:r>
            <w:r w:rsidR="00252F43" w:rsidRPr="00386BDF">
              <w:rPr>
                <w:b/>
                <w:lang w:eastAsia="en-US"/>
              </w:rPr>
              <w:t>, riaditeľ</w:t>
            </w:r>
            <w:r w:rsidR="0036748D" w:rsidRPr="00386BDF">
              <w:rPr>
                <w:b/>
                <w:lang w:eastAsia="en-US"/>
              </w:rPr>
              <w:t>ka</w:t>
            </w:r>
            <w:r w:rsidR="00252F43" w:rsidRPr="00386BDF">
              <w:rPr>
                <w:b/>
                <w:lang w:eastAsia="en-US"/>
              </w:rPr>
              <w:t xml:space="preserve"> odboru</w:t>
            </w:r>
            <w:r w:rsidR="00006DDC" w:rsidRPr="00386BDF">
              <w:rPr>
                <w:b/>
                <w:lang w:eastAsia="en-US"/>
              </w:rPr>
              <w:t xml:space="preserve"> </w:t>
            </w:r>
            <w:r w:rsidR="0036748D" w:rsidRPr="00386BDF">
              <w:rPr>
                <w:b/>
                <w:lang w:eastAsia="en-US"/>
              </w:rPr>
              <w:t>legislatívy a práva kancelárie úradu,</w:t>
            </w:r>
            <w:r w:rsidR="00252F43" w:rsidRPr="00386BDF">
              <w:rPr>
                <w:b/>
                <w:lang w:eastAsia="en-US"/>
              </w:rPr>
              <w:t xml:space="preserve"> NBÚ</w:t>
            </w:r>
          </w:p>
          <w:p w:rsidR="00252F43" w:rsidRPr="00386BDF" w:rsidRDefault="00006DDC">
            <w:pPr>
              <w:rPr>
                <w:b/>
                <w:lang w:eastAsia="en-US"/>
              </w:rPr>
            </w:pPr>
            <w:r w:rsidRPr="00386BDF">
              <w:rPr>
                <w:b/>
                <w:lang w:eastAsia="en-US"/>
              </w:rPr>
              <w:t xml:space="preserve">e-mail: </w:t>
            </w:r>
            <w:r w:rsidR="0036748D" w:rsidRPr="00386BDF">
              <w:rPr>
                <w:b/>
                <w:lang w:eastAsia="en-US"/>
              </w:rPr>
              <w:t>alexandra.dianiskova</w:t>
            </w:r>
            <w:r w:rsidRPr="00386BDF">
              <w:rPr>
                <w:b/>
                <w:lang w:eastAsia="en-US"/>
              </w:rPr>
              <w:t>@nbu</w:t>
            </w:r>
            <w:r w:rsidR="00252F43" w:rsidRPr="00386BDF">
              <w:rPr>
                <w:b/>
                <w:lang w:eastAsia="en-US"/>
              </w:rPr>
              <w:t>.gov.sk</w:t>
            </w:r>
          </w:p>
          <w:p w:rsidR="00252F43" w:rsidRPr="00386BDF" w:rsidRDefault="0036748D">
            <w:pPr>
              <w:rPr>
                <w:b/>
                <w:lang w:eastAsia="en-US"/>
              </w:rPr>
            </w:pPr>
            <w:r w:rsidRPr="00386BDF">
              <w:rPr>
                <w:b/>
                <w:lang w:eastAsia="en-US"/>
              </w:rPr>
              <w:t>tel. +421 (0)2 6869 24</w:t>
            </w:r>
            <w:r w:rsidR="00252F43" w:rsidRPr="00386BDF">
              <w:rPr>
                <w:b/>
                <w:lang w:eastAsia="en-US"/>
              </w:rPr>
              <w:t>44</w:t>
            </w:r>
          </w:p>
          <w:p w:rsidR="00252F43" w:rsidRPr="00870D7F" w:rsidRDefault="00252F43">
            <w:pPr>
              <w:rPr>
                <w:lang w:eastAsia="en-US"/>
              </w:rPr>
            </w:pPr>
          </w:p>
        </w:tc>
      </w:tr>
      <w:tr w:rsidR="00252F43" w:rsidRPr="00870D7F" w:rsidTr="00386BDF">
        <w:tc>
          <w:tcPr>
            <w:tcW w:w="9351" w:type="dxa"/>
            <w:tcBorders>
              <w:top w:val="single" w:sz="4" w:space="0" w:color="auto"/>
              <w:left w:val="single" w:sz="4" w:space="0" w:color="auto"/>
              <w:bottom w:val="single" w:sz="4" w:space="0" w:color="FFFFFF" w:themeColor="background1"/>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t>Zdroje</w:t>
            </w:r>
          </w:p>
        </w:tc>
      </w:tr>
      <w:tr w:rsidR="00252F43" w:rsidRPr="00870D7F" w:rsidTr="00386BDF">
        <w:trPr>
          <w:trHeight w:val="401"/>
        </w:trPr>
        <w:tc>
          <w:tcPr>
            <w:tcW w:w="9351"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hideMark/>
          </w:tcPr>
          <w:p w:rsidR="00252F43" w:rsidRPr="00870D7F" w:rsidRDefault="00252F43">
            <w:pPr>
              <w:rPr>
                <w:i/>
                <w:lang w:eastAsia="en-US"/>
              </w:rPr>
            </w:pPr>
            <w:r w:rsidRPr="00870D7F">
              <w:rPr>
                <w:i/>
                <w:lang w:eastAsia="en-US"/>
              </w:rPr>
              <w:t>Uveďte zdroje (štatistiky, prieskumy, spoluprácu s odborníkmi a iné), z ktorých ste pri vypracovávaní doložky, príp. analýz vplyvov vychádzali.</w:t>
            </w:r>
          </w:p>
          <w:p w:rsidR="00AB12FE" w:rsidRPr="001A0D26" w:rsidRDefault="00AB12FE" w:rsidP="00E9603A">
            <w:pPr>
              <w:rPr>
                <w:b/>
              </w:rPr>
            </w:pPr>
            <w:r>
              <w:t xml:space="preserve">      </w:t>
            </w:r>
            <w:r w:rsidRPr="001A0D26">
              <w:rPr>
                <w:b/>
              </w:rPr>
              <w:t>Štátny rozpočet</w:t>
            </w:r>
          </w:p>
          <w:p w:rsidR="00AB12FE" w:rsidRPr="001A0D26" w:rsidRDefault="00AB12FE" w:rsidP="00252F43">
            <w:pPr>
              <w:pStyle w:val="Odsekzoznamu"/>
              <w:numPr>
                <w:ilvl w:val="0"/>
                <w:numId w:val="17"/>
              </w:numPr>
              <w:rPr>
                <w:rFonts w:ascii="Times New Roman" w:hAnsi="Times New Roman" w:cs="Times New Roman"/>
                <w:b/>
                <w:sz w:val="20"/>
                <w:szCs w:val="20"/>
              </w:rPr>
            </w:pPr>
            <w:r w:rsidRPr="001A0D26">
              <w:rPr>
                <w:rFonts w:ascii="Times New Roman" w:hAnsi="Times New Roman" w:cs="Times New Roman"/>
                <w:b/>
                <w:sz w:val="20"/>
                <w:szCs w:val="20"/>
              </w:rPr>
              <w:t>Rozpočtové prostriedky jednotlivých kapitol,</w:t>
            </w:r>
          </w:p>
          <w:p w:rsidR="001A0D26" w:rsidRPr="001A0D26" w:rsidRDefault="00AB12FE" w:rsidP="001A0D26">
            <w:pPr>
              <w:pStyle w:val="Odsekzoznamu"/>
              <w:numPr>
                <w:ilvl w:val="0"/>
                <w:numId w:val="17"/>
              </w:numPr>
              <w:rPr>
                <w:rFonts w:ascii="Times New Roman" w:hAnsi="Times New Roman" w:cs="Times New Roman"/>
                <w:b/>
                <w:sz w:val="20"/>
                <w:szCs w:val="20"/>
              </w:rPr>
            </w:pPr>
            <w:r w:rsidRPr="001A0D26">
              <w:rPr>
                <w:rFonts w:ascii="Times New Roman" w:hAnsi="Times New Roman" w:cs="Times New Roman"/>
                <w:b/>
                <w:sz w:val="20"/>
                <w:szCs w:val="20"/>
              </w:rPr>
              <w:t>Medzirezortný program na ochranu kritickej infraštruktúry - OAS02.</w:t>
            </w:r>
          </w:p>
          <w:p w:rsidR="00AB12FE" w:rsidRPr="001A0D26" w:rsidRDefault="001A0D26" w:rsidP="001A0D26">
            <w:pPr>
              <w:pStyle w:val="Odsekzoznamu"/>
              <w:ind w:left="317"/>
              <w:rPr>
                <w:rFonts w:ascii="Times New Roman" w:hAnsi="Times New Roman" w:cs="Times New Roman"/>
                <w:b/>
                <w:sz w:val="20"/>
                <w:szCs w:val="20"/>
              </w:rPr>
            </w:pPr>
            <w:r w:rsidRPr="001A0D26">
              <w:rPr>
                <w:rFonts w:ascii="Times New Roman" w:hAnsi="Times New Roman" w:cs="Times New Roman"/>
                <w:b/>
              </w:rPr>
              <w:t>Pr</w:t>
            </w:r>
            <w:r w:rsidR="00AB12FE" w:rsidRPr="001A0D26">
              <w:rPr>
                <w:rFonts w:ascii="Times New Roman" w:hAnsi="Times New Roman" w:cs="Times New Roman"/>
                <w:b/>
                <w:sz w:val="20"/>
                <w:szCs w:val="20"/>
              </w:rPr>
              <w:t>ostriedky EÚ</w:t>
            </w:r>
          </w:p>
          <w:p w:rsidR="00252F43" w:rsidRPr="001A0D26" w:rsidRDefault="00252F43" w:rsidP="00252F43">
            <w:pPr>
              <w:pStyle w:val="Odsekzoznamu"/>
              <w:numPr>
                <w:ilvl w:val="0"/>
                <w:numId w:val="17"/>
              </w:numPr>
              <w:rPr>
                <w:rFonts w:ascii="Times New Roman" w:hAnsi="Times New Roman" w:cs="Times New Roman"/>
                <w:b/>
                <w:sz w:val="20"/>
                <w:szCs w:val="20"/>
              </w:rPr>
            </w:pPr>
            <w:r w:rsidRPr="001A0D26">
              <w:rPr>
                <w:rFonts w:ascii="Times New Roman" w:hAnsi="Times New Roman" w:cs="Times New Roman"/>
                <w:b/>
                <w:sz w:val="20"/>
                <w:szCs w:val="20"/>
              </w:rPr>
              <w:t>Operačný program Integrovaná infraštruktúra (OPII) 2014-2020,</w:t>
            </w:r>
          </w:p>
          <w:p w:rsidR="00252F43" w:rsidRPr="001A0D26" w:rsidRDefault="00252F43" w:rsidP="00252F43">
            <w:pPr>
              <w:pStyle w:val="Odsekzoznamu"/>
              <w:numPr>
                <w:ilvl w:val="0"/>
                <w:numId w:val="17"/>
              </w:numPr>
              <w:rPr>
                <w:rFonts w:ascii="Times New Roman" w:hAnsi="Times New Roman" w:cs="Times New Roman"/>
                <w:b/>
                <w:sz w:val="20"/>
                <w:szCs w:val="20"/>
              </w:rPr>
            </w:pPr>
            <w:r w:rsidRPr="001A0D26">
              <w:rPr>
                <w:rFonts w:ascii="Times New Roman" w:hAnsi="Times New Roman" w:cs="Times New Roman"/>
                <w:b/>
                <w:sz w:val="20"/>
                <w:szCs w:val="20"/>
              </w:rPr>
              <w:t>Operačný program Ľudské zdroje na roky 2014 – 2020,</w:t>
            </w:r>
          </w:p>
          <w:p w:rsidR="00386BDF" w:rsidRPr="00386BDF" w:rsidRDefault="00AB12FE" w:rsidP="0013792F">
            <w:pPr>
              <w:pStyle w:val="Odsekzoznamu"/>
              <w:numPr>
                <w:ilvl w:val="0"/>
                <w:numId w:val="17"/>
              </w:numPr>
              <w:rPr>
                <w:rFonts w:ascii="Times New Roman" w:hAnsi="Times New Roman" w:cs="Times New Roman"/>
                <w:sz w:val="20"/>
                <w:szCs w:val="20"/>
              </w:rPr>
            </w:pPr>
            <w:r w:rsidRPr="001A0D26">
              <w:rPr>
                <w:rFonts w:ascii="Times New Roman" w:hAnsi="Times New Roman" w:cs="Times New Roman"/>
                <w:b/>
                <w:sz w:val="20"/>
                <w:szCs w:val="20"/>
              </w:rPr>
              <w:t>Operačný program Výskum a inovácie – RIS3 SK na 2014 – 2020</w:t>
            </w:r>
            <w:r w:rsidRPr="00386BDF">
              <w:rPr>
                <w:rFonts w:ascii="Times New Roman" w:hAnsi="Times New Roman" w:cs="Times New Roman"/>
                <w:b/>
                <w:sz w:val="20"/>
                <w:szCs w:val="20"/>
              </w:rPr>
              <w:t>.</w:t>
            </w:r>
          </w:p>
        </w:tc>
      </w:tr>
      <w:tr w:rsidR="00252F43" w:rsidRPr="00870D7F" w:rsidTr="00386BDF">
        <w:tc>
          <w:tcPr>
            <w:tcW w:w="9351" w:type="dxa"/>
            <w:tcBorders>
              <w:top w:val="single" w:sz="4" w:space="0" w:color="auto"/>
              <w:left w:val="single" w:sz="4" w:space="0" w:color="auto"/>
              <w:bottom w:val="single" w:sz="4" w:space="0" w:color="auto"/>
              <w:right w:val="single" w:sz="4" w:space="0" w:color="auto"/>
            </w:tcBorders>
            <w:shd w:val="clear" w:color="auto" w:fill="E2E2E2"/>
            <w:hideMark/>
          </w:tcPr>
          <w:p w:rsidR="00252F43" w:rsidRPr="00870D7F" w:rsidRDefault="00252F43" w:rsidP="00252F43">
            <w:pPr>
              <w:pStyle w:val="Odsekzoznamu"/>
              <w:numPr>
                <w:ilvl w:val="0"/>
                <w:numId w:val="14"/>
              </w:numPr>
              <w:spacing w:after="0" w:line="240" w:lineRule="auto"/>
              <w:ind w:left="426"/>
              <w:rPr>
                <w:rFonts w:ascii="Times New Roman" w:hAnsi="Times New Roman" w:cs="Times New Roman"/>
                <w:b/>
              </w:rPr>
            </w:pPr>
            <w:r w:rsidRPr="00870D7F">
              <w:rPr>
                <w:rFonts w:ascii="Times New Roman" w:hAnsi="Times New Roman" w:cs="Times New Roman"/>
                <w:b/>
              </w:rPr>
              <w:lastRenderedPageBreak/>
              <w:t>Stanovisko Komisie pre posudzovanie vybraných vplyvov z PPK</w:t>
            </w:r>
          </w:p>
        </w:tc>
      </w:tr>
      <w:tr w:rsidR="00252F43" w:rsidRPr="00870D7F" w:rsidTr="00386BDF">
        <w:tc>
          <w:tcPr>
            <w:tcW w:w="93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3792F" w:rsidRDefault="0013792F" w:rsidP="00125C02">
            <w:pPr>
              <w:tabs>
                <w:tab w:val="center" w:pos="6379"/>
              </w:tabs>
              <w:ind w:right="-2"/>
              <w:contextualSpacing/>
              <w:jc w:val="both"/>
              <w:rPr>
                <w:b/>
                <w:bCs/>
              </w:rPr>
            </w:pPr>
          </w:p>
          <w:p w:rsidR="00125C02" w:rsidRPr="00870D7F" w:rsidRDefault="0036748D" w:rsidP="00125C02">
            <w:pPr>
              <w:tabs>
                <w:tab w:val="center" w:pos="6379"/>
              </w:tabs>
              <w:ind w:right="-2"/>
              <w:contextualSpacing/>
              <w:jc w:val="both"/>
              <w:rPr>
                <w:b/>
                <w:bCs/>
              </w:rPr>
            </w:pPr>
            <w:r w:rsidRPr="00870D7F">
              <w:rPr>
                <w:b/>
                <w:bCs/>
              </w:rPr>
              <w:t>Stanovisko č. 120/2017 z 19.05.2017</w:t>
            </w:r>
          </w:p>
          <w:p w:rsidR="0036748D" w:rsidRPr="00870D7F" w:rsidRDefault="0036748D" w:rsidP="00125C02">
            <w:pPr>
              <w:tabs>
                <w:tab w:val="center" w:pos="6379"/>
              </w:tabs>
              <w:ind w:right="-2"/>
              <w:contextualSpacing/>
              <w:jc w:val="both"/>
              <w:rPr>
                <w:b/>
                <w:bCs/>
              </w:rPr>
            </w:pPr>
          </w:p>
          <w:p w:rsidR="00125C02" w:rsidRPr="00870D7F" w:rsidRDefault="00125C02" w:rsidP="00125C02">
            <w:pPr>
              <w:tabs>
                <w:tab w:val="center" w:pos="6379"/>
              </w:tabs>
              <w:ind w:right="-2"/>
              <w:contextualSpacing/>
              <w:jc w:val="both"/>
              <w:rPr>
                <w:bCs/>
              </w:rPr>
            </w:pPr>
            <w:r w:rsidRPr="00870D7F">
              <w:rPr>
                <w:bCs/>
              </w:rPr>
              <w:t>Komisia uplatňuje k materiálu nasledovné pripomienky a odporúčania:</w:t>
            </w:r>
          </w:p>
          <w:p w:rsidR="00125C02" w:rsidRPr="00870D7F" w:rsidRDefault="00125C02" w:rsidP="00125C02">
            <w:pPr>
              <w:tabs>
                <w:tab w:val="center" w:pos="6379"/>
              </w:tabs>
              <w:ind w:right="-2"/>
              <w:contextualSpacing/>
              <w:jc w:val="both"/>
              <w:rPr>
                <w:bCs/>
              </w:rPr>
            </w:pPr>
          </w:p>
          <w:p w:rsidR="003F0E82" w:rsidRPr="00870D7F" w:rsidRDefault="003F0E82" w:rsidP="003F0E82">
            <w:pPr>
              <w:jc w:val="both"/>
              <w:rPr>
                <w:bCs/>
              </w:rPr>
            </w:pPr>
            <w:r w:rsidRPr="00870D7F">
              <w:rPr>
                <w:b/>
                <w:bCs/>
              </w:rPr>
              <w:t xml:space="preserve">I. Úvod: </w:t>
            </w:r>
            <w:r w:rsidRPr="00870D7F">
              <w:rPr>
                <w:bCs/>
              </w:rPr>
              <w:t xml:space="preserve">Národný bezpečnostný úrad dňa 12.mája 2017 predložilo Stálej pracovnej komisii na posudzovanie vybraných vplyvov (ďalej len „Komisia“) na predbežné pripomienkové konanie materiál </w:t>
            </w:r>
            <w:r w:rsidRPr="00870D7F">
              <w:rPr>
                <w:bCs/>
                <w:i/>
              </w:rPr>
              <w:t xml:space="preserve">„Návrh zákona o kybernetickej bezpečnosti“ </w:t>
            </w:r>
            <w:r w:rsidRPr="00870D7F">
              <w:rPr>
                <w:bCs/>
              </w:rPr>
              <w:t>spolu so žiadosťou o skrátenie lehoty PPK. Komisia tejto žiadosti vyhovela. Materiál predpokladá negatívne vplyvy na rozpočet verejnej správy, ktoré sú čiastočne rozpočtovo zabezpečené, negatívne vplyvy na podnikateľské prostredie a pozitívne vplyvy na informatizáciu.</w:t>
            </w:r>
          </w:p>
          <w:p w:rsidR="00DF181E" w:rsidRPr="00870D7F" w:rsidRDefault="00DF181E" w:rsidP="003F0E82">
            <w:pPr>
              <w:jc w:val="both"/>
              <w:rPr>
                <w:bCs/>
              </w:rPr>
            </w:pPr>
          </w:p>
          <w:p w:rsidR="003F0E82" w:rsidRPr="00870D7F" w:rsidRDefault="003F0E82" w:rsidP="003F0E82">
            <w:pPr>
              <w:tabs>
                <w:tab w:val="center" w:pos="6379"/>
              </w:tabs>
              <w:ind w:right="-2"/>
              <w:contextualSpacing/>
              <w:jc w:val="both"/>
              <w:rPr>
                <w:bCs/>
              </w:rPr>
            </w:pPr>
            <w:r w:rsidRPr="00870D7F">
              <w:rPr>
                <w:b/>
                <w:bCs/>
              </w:rPr>
              <w:t>II. P</w:t>
            </w:r>
            <w:r w:rsidRPr="00870D7F">
              <w:rPr>
                <w:b/>
              </w:rPr>
              <w:t>r</w:t>
            </w:r>
            <w:r w:rsidRPr="00870D7F">
              <w:rPr>
                <w:b/>
                <w:bCs/>
              </w:rPr>
              <w:t>ipomienky a návrhy zm</w:t>
            </w:r>
            <w:r w:rsidRPr="00870D7F">
              <w:rPr>
                <w:b/>
              </w:rPr>
              <w:t>ie</w:t>
            </w:r>
            <w:r w:rsidRPr="00870D7F">
              <w:rPr>
                <w:b/>
                <w:bCs/>
              </w:rPr>
              <w:t xml:space="preserve">n: </w:t>
            </w:r>
            <w:r w:rsidRPr="00870D7F">
              <w:rPr>
                <w:bCs/>
              </w:rPr>
              <w:t>Komisia uplatňuje k materiálu nasledovné pripomienky a odporúčania:</w:t>
            </w:r>
          </w:p>
          <w:p w:rsidR="003F0E82" w:rsidRPr="00870D7F" w:rsidRDefault="003F0E82" w:rsidP="003F0E82">
            <w:pPr>
              <w:tabs>
                <w:tab w:val="center" w:pos="6379"/>
              </w:tabs>
              <w:ind w:right="-2"/>
              <w:contextualSpacing/>
              <w:jc w:val="both"/>
              <w:rPr>
                <w:bCs/>
              </w:rPr>
            </w:pPr>
            <w:r w:rsidRPr="00870D7F">
              <w:rPr>
                <w:b/>
                <w:bCs/>
              </w:rPr>
              <w:t>K doložke vybraných vplyvov</w:t>
            </w:r>
          </w:p>
          <w:p w:rsidR="003F0E82" w:rsidRPr="00870D7F" w:rsidRDefault="003F0E82" w:rsidP="003F0E82">
            <w:pPr>
              <w:jc w:val="both"/>
              <w:rPr>
                <w:bCs/>
              </w:rPr>
            </w:pPr>
            <w:r w:rsidRPr="00870D7F">
              <w:rPr>
                <w:bCs/>
              </w:rPr>
              <w:t>Komisia odporúča predkladateľovi v </w:t>
            </w:r>
            <w:r w:rsidRPr="00870D7F">
              <w:rPr>
                <w:bCs/>
                <w:i/>
              </w:rPr>
              <w:t>doložke vybraných vplyvov</w:t>
            </w:r>
            <w:r w:rsidRPr="00870D7F">
              <w:rPr>
                <w:bCs/>
              </w:rPr>
              <w:t xml:space="preserve"> v časti „1. Základné údaje“ uviesť termín začiatku a ukončenia PPK a aktualizovať predpokladané termíny predloženia materiálu na MPK, prípadne na rokovanie vlády SR.</w:t>
            </w:r>
          </w:p>
          <w:p w:rsidR="003F0E82" w:rsidRPr="00870D7F" w:rsidRDefault="003F0E82" w:rsidP="003F0E82">
            <w:pPr>
              <w:tabs>
                <w:tab w:val="center" w:pos="6379"/>
              </w:tabs>
              <w:ind w:right="-2"/>
              <w:contextualSpacing/>
              <w:jc w:val="both"/>
              <w:rPr>
                <w:bCs/>
              </w:rPr>
            </w:pPr>
          </w:p>
          <w:p w:rsidR="00DF181E" w:rsidRPr="00870D7F" w:rsidRDefault="003F0E82" w:rsidP="003F0E82">
            <w:pPr>
              <w:jc w:val="both"/>
              <w:rPr>
                <w:bCs/>
              </w:rPr>
            </w:pPr>
            <w:r w:rsidRPr="00870D7F">
              <w:rPr>
                <w:bCs/>
              </w:rPr>
              <w:t>V </w:t>
            </w:r>
            <w:r w:rsidRPr="00870D7F">
              <w:rPr>
                <w:bCs/>
                <w:i/>
              </w:rPr>
              <w:t>doložke vybraných vplyvov</w:t>
            </w:r>
            <w:r w:rsidRPr="00870D7F">
              <w:rPr>
                <w:bCs/>
              </w:rPr>
              <w:t xml:space="preserve"> predkladateľ uvádza, že predkladaný materiál sa prijíma aj v dôsledku transpozície práva EÚ. V rámci sprievodných dokumentov k vlastnému materiálu však absentuje Tabuľka zhody (tzv. transpozičná tabuľka), podľa ktorej môžu – či už členovia Stálej pracovnej komisie alebo verejnosť v rámci možností ponúkaných portálom Slov-lex – hodnotiť prítomnosť efektu gold-platingu. V rámci zásad a odporúčaní v časti III. Jednotnej metodiky na posudzovanie vybraných vplyvov sa odporúča, v súlade s postupmi tzv. „lepšej regulácie“, vyhnúť sa efektu gold-platingu (t. j. transpozície nad rámec minimálnych požiadaviek právnych aktov EÚ), nakoľko môže viesť k zníženiu konkurencieschopnosti domácich firiem v porovnaní s krajinami, kde právne predpisy nie sú natoľko prísne. Komisia žiada o priloženie tohto sprievodného dokumentu, bez ktorého nie je možné z hľadiska vplyvov na podnikateľské prostredie uskutočniť komplexné hodnotenie.</w:t>
            </w:r>
          </w:p>
          <w:p w:rsidR="00DF181E" w:rsidRPr="00870D7F" w:rsidRDefault="00DF181E" w:rsidP="003F0E82">
            <w:pPr>
              <w:jc w:val="both"/>
              <w:rPr>
                <w:bCs/>
              </w:rPr>
            </w:pPr>
          </w:p>
          <w:p w:rsidR="003F0E82" w:rsidRPr="00870D7F" w:rsidRDefault="003F0E82" w:rsidP="003F0E82">
            <w:pPr>
              <w:jc w:val="both"/>
              <w:rPr>
                <w:bCs/>
              </w:rPr>
            </w:pPr>
            <w:r w:rsidRPr="00870D7F">
              <w:rPr>
                <w:b/>
                <w:bCs/>
              </w:rPr>
              <w:t>NBÚ</w:t>
            </w:r>
            <w:r w:rsidRPr="00870D7F">
              <w:rPr>
                <w:bCs/>
              </w:rPr>
              <w:t xml:space="preserve">: Požadovaný sprievodný dokument </w:t>
            </w:r>
            <w:r w:rsidR="00636C25" w:rsidRPr="00870D7F">
              <w:rPr>
                <w:bCs/>
              </w:rPr>
              <w:t>je</w:t>
            </w:r>
            <w:r w:rsidRPr="00870D7F">
              <w:rPr>
                <w:bCs/>
              </w:rPr>
              <w:t xml:space="preserve"> súčasťou predkladaného materiálu.</w:t>
            </w:r>
          </w:p>
          <w:p w:rsidR="00DF181E" w:rsidRPr="00870D7F" w:rsidRDefault="00DF181E" w:rsidP="003F0E82">
            <w:pPr>
              <w:jc w:val="both"/>
              <w:rPr>
                <w:bCs/>
              </w:rPr>
            </w:pPr>
          </w:p>
          <w:p w:rsidR="0036748D" w:rsidRPr="00870D7F" w:rsidRDefault="003F0E82" w:rsidP="003F0E82">
            <w:pPr>
              <w:jc w:val="both"/>
              <w:rPr>
                <w:bCs/>
              </w:rPr>
            </w:pPr>
            <w:r w:rsidRPr="00870D7F">
              <w:rPr>
                <w:bCs/>
              </w:rPr>
              <w:t>Predkladateľ v </w:t>
            </w:r>
            <w:r w:rsidRPr="00870D7F">
              <w:rPr>
                <w:bCs/>
                <w:i/>
              </w:rPr>
              <w:t>doložke vybraných vplyvov</w:t>
            </w:r>
            <w:r w:rsidRPr="00870D7F">
              <w:rPr>
                <w:bCs/>
              </w:rPr>
              <w:t xml:space="preserve"> zaznačil negatívny vplyv predmetného materiálu na podnikateľské prostredie, pričom vplyv na MSP vyznačený nebol. Komisia je toho názoru, že najmä medzi tzv. poskytovateľmi digitálnych služieb (t. j. poskytovatelia online trhovísk, internetových vyhľadávačov a cloudových služieb) sa môžu vyskytovať aj malé a stredné podniky. Komisia preto odporúča predkladateľovi aby zvážil, či návrh zákona o kybernetickej bezpečnosti skutočne neovplyvní malých a stredných podnikateľov. </w:t>
            </w:r>
          </w:p>
          <w:p w:rsidR="0036748D" w:rsidRPr="00870D7F" w:rsidRDefault="0036748D" w:rsidP="003F0E82">
            <w:pPr>
              <w:jc w:val="both"/>
              <w:rPr>
                <w:bCs/>
              </w:rPr>
            </w:pPr>
          </w:p>
          <w:p w:rsidR="003F0E82" w:rsidRPr="00870D7F" w:rsidRDefault="003F0E82" w:rsidP="003F0E82">
            <w:pPr>
              <w:jc w:val="both"/>
              <w:rPr>
                <w:bCs/>
              </w:rPr>
            </w:pPr>
            <w:r w:rsidRPr="00870D7F">
              <w:rPr>
                <w:b/>
                <w:bCs/>
              </w:rPr>
              <w:t>NBÚ</w:t>
            </w:r>
            <w:r w:rsidRPr="00870D7F">
              <w:rPr>
                <w:bCs/>
              </w:rPr>
              <w:t xml:space="preserve">: Predkladateľ zvážil dopad zákona na malé a stredné podniky a trvá na pôvodnom stanovisku. </w:t>
            </w:r>
          </w:p>
          <w:p w:rsidR="0036748D" w:rsidRPr="00870D7F" w:rsidRDefault="0036748D" w:rsidP="003F0E82">
            <w:pPr>
              <w:jc w:val="both"/>
              <w:rPr>
                <w:bCs/>
              </w:rPr>
            </w:pPr>
          </w:p>
          <w:p w:rsidR="003F0E82" w:rsidRPr="00870D7F" w:rsidRDefault="003F0E82" w:rsidP="003F0E82">
            <w:pPr>
              <w:tabs>
                <w:tab w:val="center" w:pos="6379"/>
              </w:tabs>
              <w:ind w:right="-2"/>
              <w:contextualSpacing/>
              <w:jc w:val="both"/>
              <w:rPr>
                <w:b/>
                <w:bCs/>
              </w:rPr>
            </w:pPr>
            <w:r w:rsidRPr="00870D7F">
              <w:rPr>
                <w:b/>
                <w:bCs/>
              </w:rPr>
              <w:t>K analýze vplyvov na rozpočet verejnej správy</w:t>
            </w:r>
          </w:p>
          <w:p w:rsidR="00DF181E" w:rsidRPr="00870D7F" w:rsidRDefault="003F0E82" w:rsidP="003F0E82">
            <w:pPr>
              <w:jc w:val="both"/>
              <w:rPr>
                <w:bCs/>
              </w:rPr>
            </w:pPr>
            <w:r w:rsidRPr="00870D7F">
              <w:rPr>
                <w:bCs/>
              </w:rPr>
              <w:t xml:space="preserve">Z </w:t>
            </w:r>
            <w:r w:rsidRPr="00870D7F">
              <w:rPr>
                <w:bCs/>
                <w:i/>
              </w:rPr>
              <w:t>doložky vybraných vplyvov</w:t>
            </w:r>
            <w:r w:rsidRPr="00870D7F">
              <w:rPr>
                <w:bCs/>
              </w:rPr>
              <w:t xml:space="preserve"> vyplýva, že materiál bude mať negatívny vplyv na rozpočet verejnej správy, ktorý bude rozpočtovo čiastočne zabezpečený. Súčasne je v časti 2. 1. 1. Financovanie návrhu uvedené, že finančné prostriedky vyplývajúce z návrhu zákona budú zabezpečené v rámci schválených limitov rozpočtu v jednotlivých rokoch bez dodatočných požiadaviek na rozpočet. Uvedené protichodné ustanovenia Komisia žiada zosúladiť. Vzhľadom na to, že v zmysle § 32 návrhu zákona sa budú udeľovať sankcie za porušenie zákona, je potrebné v doložke vybraných vplyvov uviesť aj pozitívny vplyv. Komisia berie na vedomie konštatovanie v časti 2. 1. 1., že pozitívny vplyv nie je mo</w:t>
            </w:r>
            <w:r w:rsidR="00DF181E" w:rsidRPr="00870D7F">
              <w:rPr>
                <w:bCs/>
              </w:rPr>
              <w:t>žné v súčasnosti kvantifikovať.</w:t>
            </w:r>
          </w:p>
          <w:p w:rsidR="00DF181E" w:rsidRPr="00870D7F" w:rsidRDefault="00DF181E" w:rsidP="003F0E82">
            <w:pPr>
              <w:jc w:val="both"/>
              <w:rPr>
                <w:bCs/>
              </w:rPr>
            </w:pPr>
          </w:p>
          <w:p w:rsidR="003F0E82" w:rsidRPr="00870D7F" w:rsidRDefault="00636C25" w:rsidP="003F0E82">
            <w:pPr>
              <w:jc w:val="both"/>
              <w:rPr>
                <w:bCs/>
              </w:rPr>
            </w:pPr>
            <w:r w:rsidRPr="00870D7F">
              <w:rPr>
                <w:b/>
                <w:bCs/>
              </w:rPr>
              <w:t>NBÚ</w:t>
            </w:r>
            <w:r w:rsidR="00DF181E" w:rsidRPr="00870D7F">
              <w:rPr>
                <w:bCs/>
              </w:rPr>
              <w:t>: U</w:t>
            </w:r>
            <w:r w:rsidRPr="00870D7F">
              <w:rPr>
                <w:bCs/>
              </w:rPr>
              <w:t>stano</w:t>
            </w:r>
            <w:r w:rsidR="00DF181E" w:rsidRPr="00870D7F">
              <w:rPr>
                <w:bCs/>
              </w:rPr>
              <w:t>venia v doložke boli upravené v súlade s pripomienkami.</w:t>
            </w:r>
          </w:p>
          <w:p w:rsidR="00DF181E" w:rsidRPr="00870D7F" w:rsidRDefault="00DF181E" w:rsidP="003F0E82">
            <w:pPr>
              <w:jc w:val="both"/>
              <w:rPr>
                <w:bCs/>
              </w:rPr>
            </w:pPr>
          </w:p>
          <w:p w:rsidR="00DF181E" w:rsidRPr="00870D7F" w:rsidRDefault="003F0E82" w:rsidP="003F0E82">
            <w:pPr>
              <w:jc w:val="both"/>
              <w:rPr>
                <w:bCs/>
              </w:rPr>
            </w:pPr>
            <w:r w:rsidRPr="00870D7F">
              <w:rPr>
                <w:bCs/>
              </w:rPr>
              <w:t>V tabuľke č. 1 analýzy vplyvov na rozpočet verejnej správy sú uvedené celkové výdavky na roky 2018 až 2021 v objeme od 54 mil. eur do 60 mil. eur s tým, že nie je možné v súčasnosti kvantifikovať výdavky osobitne za každý subjekt verejnej správy. Komisia však upozorňuje, že celkové výdavky z tabuľky č. 1 nekorešpondujú s výdavkami uvedenými v tabuľke č. 4 a č. 4a, čo Komisia žiada zosúladiť. Z týchto tabuliek, ako aj z tabuliek č. 5 a 5a nie je zrejmé o aké subjekty verejnej správy ide. Z dôvodu jednoznačnosti je potrebné tieto údaje doplniť a výdavky špecifikovať aj podľa jednotlivých zúčastnených rezorto</w:t>
            </w:r>
            <w:r w:rsidR="00DF181E" w:rsidRPr="00870D7F">
              <w:rPr>
                <w:bCs/>
              </w:rPr>
              <w:t>v.</w:t>
            </w:r>
          </w:p>
          <w:p w:rsidR="00DF181E" w:rsidRPr="00870D7F" w:rsidRDefault="00DF181E" w:rsidP="003F0E82">
            <w:pPr>
              <w:jc w:val="both"/>
              <w:rPr>
                <w:bCs/>
              </w:rPr>
            </w:pPr>
          </w:p>
          <w:p w:rsidR="003F0E82" w:rsidRPr="00870D7F" w:rsidRDefault="00636C25" w:rsidP="003F0E82">
            <w:pPr>
              <w:jc w:val="both"/>
              <w:rPr>
                <w:bCs/>
              </w:rPr>
            </w:pPr>
            <w:r w:rsidRPr="00870D7F">
              <w:rPr>
                <w:b/>
                <w:bCs/>
              </w:rPr>
              <w:t>NBÚ</w:t>
            </w:r>
            <w:r w:rsidRPr="00870D7F">
              <w:rPr>
                <w:bCs/>
              </w:rPr>
              <w:t xml:space="preserve">: </w:t>
            </w:r>
            <w:r w:rsidR="00DF181E" w:rsidRPr="00870D7F">
              <w:rPr>
                <w:bCs/>
              </w:rPr>
              <w:t xml:space="preserve">Ustanovenia v doložke boli upravené v súlade s pripomienkami </w:t>
            </w:r>
            <w:r w:rsidRPr="00870D7F">
              <w:rPr>
                <w:bCs/>
              </w:rPr>
              <w:t>a boli prehodnotené dopady na zamestnanosť a výdavky verejnej správy.</w:t>
            </w:r>
          </w:p>
          <w:p w:rsidR="00DF181E" w:rsidRPr="00870D7F" w:rsidRDefault="003F0E82" w:rsidP="003F0E82">
            <w:pPr>
              <w:jc w:val="both"/>
              <w:rPr>
                <w:bCs/>
              </w:rPr>
            </w:pPr>
            <w:r w:rsidRPr="00870D7F">
              <w:rPr>
                <w:bCs/>
              </w:rPr>
              <w:t xml:space="preserve">K medzirezortnému podprogramu 0AS02, ktorého účastníkom je MF SR Komisia uvádza, že podľa návrhu rozpočtu verejnej správy na roky 2017 až 2019 sú na tento podprogram rozpočtované na všetky roky finančné </w:t>
            </w:r>
            <w:r w:rsidRPr="00870D7F">
              <w:rPr>
                <w:bCs/>
              </w:rPr>
              <w:lastRenderedPageBreak/>
              <w:t>prostriedky vo výške 406 279 eur, čo nie je v súlade s čiastkou z doložky vybraných vplyvov, kde sa uvádza  objem 3 mil. eur. U</w:t>
            </w:r>
            <w:r w:rsidR="00DF181E" w:rsidRPr="00870D7F">
              <w:rPr>
                <w:bCs/>
              </w:rPr>
              <w:t>vedené Komisia žiada zosúladiť.</w:t>
            </w:r>
          </w:p>
          <w:p w:rsidR="00DF181E" w:rsidRPr="00870D7F" w:rsidRDefault="00DF181E" w:rsidP="003F0E82">
            <w:pPr>
              <w:jc w:val="both"/>
              <w:rPr>
                <w:bCs/>
              </w:rPr>
            </w:pPr>
          </w:p>
          <w:p w:rsidR="00DF181E" w:rsidRPr="00870D7F" w:rsidRDefault="00636C25" w:rsidP="00DF181E">
            <w:pPr>
              <w:jc w:val="both"/>
              <w:rPr>
                <w:bCs/>
              </w:rPr>
            </w:pPr>
            <w:r w:rsidRPr="00870D7F">
              <w:rPr>
                <w:b/>
                <w:bCs/>
              </w:rPr>
              <w:t>NBÚ</w:t>
            </w:r>
            <w:r w:rsidRPr="00870D7F">
              <w:rPr>
                <w:bCs/>
              </w:rPr>
              <w:t>:</w:t>
            </w:r>
            <w:r w:rsidR="00DF181E" w:rsidRPr="00870D7F">
              <w:rPr>
                <w:bCs/>
              </w:rPr>
              <w:t xml:space="preserve"> Ustanovenia v doložke boli upravené v súlade s pripomienkami.</w:t>
            </w:r>
          </w:p>
          <w:p w:rsidR="003F0E82" w:rsidRPr="00870D7F" w:rsidRDefault="003F0E82" w:rsidP="003F0E82">
            <w:pPr>
              <w:jc w:val="both"/>
              <w:rPr>
                <w:bCs/>
              </w:rPr>
            </w:pPr>
          </w:p>
          <w:p w:rsidR="00DF181E" w:rsidRPr="00870D7F" w:rsidRDefault="003F0E82" w:rsidP="003F0E82">
            <w:pPr>
              <w:jc w:val="both"/>
              <w:rPr>
                <w:bCs/>
              </w:rPr>
            </w:pPr>
            <w:r w:rsidRPr="00870D7F">
              <w:rPr>
                <w:bCs/>
              </w:rPr>
              <w:t>V tabuľke č. 1 analýzy vplyvov Komisia žiada k výdavkom na operačné programy (OP Integrovaná infraštruktúra, OP Výskum a vývoj, OP Ľudské zdroje) doplniť názvy kapitol, v ktorých sú prostriedky rozpočtované. Komisia upozorňuje, že v súčasnosti sa pripravuje návrh rozpočtu verejnej správy na roky 2018 – 2020 a pri kvantifikácii príjmov a výdavkov za zdroje EÚ a spolufinancovanie zo štátneho rozpočtu je potrebné uvádzať aktualizované sumy na roky 2018 až 2020. V súvislosti s OP Informatizácia spoločnosti Komisia upozorňuje, že obdobie oprávnenosti pre tento program bolo ukončené k 31.12. 2015 a preto nie je možné na realizáciu návrhu zákona použiť prostried</w:t>
            </w:r>
            <w:r w:rsidR="00DF181E" w:rsidRPr="00870D7F">
              <w:rPr>
                <w:bCs/>
              </w:rPr>
              <w:t>ky z tohto operačného programu.</w:t>
            </w:r>
          </w:p>
          <w:p w:rsidR="00DF181E" w:rsidRPr="00870D7F" w:rsidRDefault="00DF181E" w:rsidP="003F0E82">
            <w:pPr>
              <w:jc w:val="both"/>
              <w:rPr>
                <w:bCs/>
              </w:rPr>
            </w:pPr>
          </w:p>
          <w:p w:rsidR="003F0E82" w:rsidRPr="00870D7F" w:rsidRDefault="00636C25" w:rsidP="003F0E82">
            <w:pPr>
              <w:jc w:val="both"/>
              <w:rPr>
                <w:bCs/>
              </w:rPr>
            </w:pPr>
            <w:r w:rsidRPr="00870D7F">
              <w:rPr>
                <w:b/>
                <w:bCs/>
              </w:rPr>
              <w:t>NBÚ</w:t>
            </w:r>
            <w:r w:rsidRPr="00870D7F">
              <w:rPr>
                <w:bCs/>
              </w:rPr>
              <w:t xml:space="preserve">: </w:t>
            </w:r>
            <w:r w:rsidR="00DF181E" w:rsidRPr="00870D7F">
              <w:rPr>
                <w:bCs/>
              </w:rPr>
              <w:t>Ustanovenia v doložke boli upravené v súlade s</w:t>
            </w:r>
            <w:r w:rsidR="001E4B3D" w:rsidRPr="00870D7F">
              <w:rPr>
                <w:bCs/>
              </w:rPr>
              <w:t xml:space="preserve"> pripomienkami </w:t>
            </w:r>
            <w:r w:rsidRPr="00870D7F">
              <w:rPr>
                <w:bCs/>
              </w:rPr>
              <w:t>a kapitoly doplnené.</w:t>
            </w:r>
          </w:p>
          <w:p w:rsidR="001E4B3D" w:rsidRPr="00870D7F" w:rsidRDefault="001E4B3D" w:rsidP="003F0E82">
            <w:pPr>
              <w:jc w:val="both"/>
              <w:rPr>
                <w:bCs/>
              </w:rPr>
            </w:pPr>
          </w:p>
          <w:p w:rsidR="001E4B3D" w:rsidRPr="00870D7F" w:rsidRDefault="003F0E82" w:rsidP="00636C25">
            <w:pPr>
              <w:jc w:val="both"/>
              <w:rPr>
                <w:bCs/>
              </w:rPr>
            </w:pPr>
            <w:r w:rsidRPr="00870D7F">
              <w:rPr>
                <w:bCs/>
              </w:rPr>
              <w:t>V zmysle jednotnej metodiky na posudzovanie vybraných vplyvov je potrebné v doložke vybraných vplyvov doplniť všetky predpokladané výdavky, spojené s realizáciou návrhu zákona, a to vrátane nového medzirezortného programu na ochranu kybernetického priestoru. Výdavky je potrebné kvantifikovať podľa zdrojového krytia, programovej klasifikácie a jednotlivých subjektov verejnej správy. S predloženým materiálom bude možné súhlasiť len za podmienky, že všetky výdavky budú rozpočtovo zabezpečené v rámci schválených limitov počtu zamestnancov a limitov výdavkov dotknutých kapitol štátneho rozpočtu, bez dodatočných požiadaviek na zvýšenie limitu počtu z</w:t>
            </w:r>
            <w:r w:rsidR="00636C25" w:rsidRPr="00870D7F">
              <w:rPr>
                <w:bCs/>
              </w:rPr>
              <w:t xml:space="preserve">amestnancov a štátny rozpočet. </w:t>
            </w:r>
            <w:r w:rsidRPr="00870D7F">
              <w:rPr>
                <w:bCs/>
              </w:rPr>
              <w:t>V súlade so stanoveným formátom pre vypracovanie doložky vybraných vplyvov Komisia žiada uviesť kvantifikáciu výdavkov na roky 2017 až 2020 (uvedené sú roky 2018 až 2021). Súčasne Komisia žiada v tabuľkách č. 5 a 5a uviesť správny údaj za „priemerný mzdový výdavok“.</w:t>
            </w:r>
          </w:p>
          <w:p w:rsidR="001E4B3D" w:rsidRPr="00870D7F" w:rsidRDefault="001E4B3D" w:rsidP="00636C25">
            <w:pPr>
              <w:jc w:val="both"/>
              <w:rPr>
                <w:bCs/>
              </w:rPr>
            </w:pPr>
          </w:p>
          <w:p w:rsidR="00636C25" w:rsidRPr="00870D7F" w:rsidRDefault="00636C25" w:rsidP="00636C25">
            <w:pPr>
              <w:jc w:val="both"/>
              <w:rPr>
                <w:bCs/>
              </w:rPr>
            </w:pPr>
            <w:r w:rsidRPr="00870D7F">
              <w:rPr>
                <w:b/>
                <w:bCs/>
              </w:rPr>
              <w:t>NBÚ</w:t>
            </w:r>
            <w:r w:rsidRPr="00870D7F">
              <w:rPr>
                <w:bCs/>
              </w:rPr>
              <w:t xml:space="preserve">: </w:t>
            </w:r>
            <w:r w:rsidR="001E4B3D" w:rsidRPr="00870D7F">
              <w:rPr>
                <w:bCs/>
              </w:rPr>
              <w:t>Ustanovenia v doložke boli upravené v súlade s pripomienkami</w:t>
            </w:r>
            <w:r w:rsidRPr="00870D7F">
              <w:rPr>
                <w:bCs/>
              </w:rPr>
              <w:t xml:space="preserve"> a boli prehodnotené dopady na zamestnanosť a výdavky verejnej správy.</w:t>
            </w:r>
          </w:p>
          <w:p w:rsidR="001E4B3D" w:rsidRPr="00870D7F" w:rsidRDefault="001E4B3D" w:rsidP="00636C25">
            <w:pPr>
              <w:jc w:val="both"/>
              <w:rPr>
                <w:bCs/>
              </w:rPr>
            </w:pPr>
          </w:p>
          <w:p w:rsidR="003F0E82" w:rsidRPr="00870D7F" w:rsidRDefault="003F0E82" w:rsidP="003F0E82">
            <w:pPr>
              <w:tabs>
                <w:tab w:val="center" w:pos="6379"/>
              </w:tabs>
              <w:ind w:right="-2"/>
              <w:jc w:val="both"/>
              <w:rPr>
                <w:rFonts w:eastAsia="Calibri"/>
                <w:bCs/>
                <w:lang w:eastAsia="en-US"/>
              </w:rPr>
            </w:pPr>
            <w:r w:rsidRPr="00870D7F">
              <w:rPr>
                <w:b/>
                <w:bCs/>
              </w:rPr>
              <w:t xml:space="preserve">III. Záver: </w:t>
            </w:r>
            <w:r w:rsidRPr="00870D7F">
              <w:rPr>
                <w:bCs/>
              </w:rPr>
              <w:t xml:space="preserve">Stála pracovná komisia na posudzovanie vybraných vplyvov vyjadruje </w:t>
            </w:r>
            <w:r w:rsidRPr="00870D7F">
              <w:rPr>
                <w:rFonts w:eastAsia="Calibri"/>
                <w:bCs/>
                <w:lang w:eastAsia="en-US"/>
              </w:rPr>
              <w:t>nesúhlasné stanovisko</w:t>
            </w:r>
            <w:r w:rsidR="00636C25" w:rsidRPr="00870D7F">
              <w:rPr>
                <w:rFonts w:eastAsia="Calibri"/>
                <w:bCs/>
                <w:lang w:eastAsia="en-US"/>
              </w:rPr>
              <w:t xml:space="preserve"> </w:t>
            </w:r>
            <w:r w:rsidRPr="00870D7F">
              <w:rPr>
                <w:bCs/>
              </w:rPr>
              <w:t xml:space="preserve">s materiálom predloženým na predbežné pripomienkové konanie s odporúčaním na jeho dopracovanie podľa pripomienok v bode II. </w:t>
            </w:r>
          </w:p>
          <w:p w:rsidR="00FB7430" w:rsidRPr="00870D7F" w:rsidRDefault="00FB7430" w:rsidP="003F0E82">
            <w:pPr>
              <w:tabs>
                <w:tab w:val="center" w:pos="6379"/>
              </w:tabs>
              <w:ind w:right="-2"/>
              <w:jc w:val="both"/>
              <w:rPr>
                <w:rFonts w:eastAsia="Calibri"/>
                <w:bCs/>
                <w:lang w:eastAsia="en-US"/>
              </w:rPr>
            </w:pPr>
          </w:p>
          <w:p w:rsidR="00252F43" w:rsidRPr="00870D7F" w:rsidRDefault="003F0E82" w:rsidP="00636C25">
            <w:pPr>
              <w:tabs>
                <w:tab w:val="center" w:pos="6379"/>
              </w:tabs>
              <w:ind w:right="-2"/>
              <w:jc w:val="both"/>
              <w:rPr>
                <w:b/>
                <w:lang w:eastAsia="en-US"/>
              </w:rPr>
            </w:pPr>
            <w:r w:rsidRPr="00870D7F">
              <w:rPr>
                <w:rFonts w:eastAsia="Calibri"/>
                <w:b/>
                <w:bCs/>
                <w:lang w:eastAsia="en-US"/>
              </w:rPr>
              <w:t xml:space="preserve">IV. Poznámka: </w:t>
            </w:r>
            <w:r w:rsidRPr="00870D7F">
              <w:rPr>
                <w:rFonts w:eastAsia="Calibri"/>
                <w:bCs/>
                <w:lang w:eastAsia="en-US"/>
              </w:rPr>
              <w:t>Predkladateľ zapracuje pripomienky a odporúčania na úpravu uvedené v bode II a uvedie stanovisko Komisie do Doložky vybraných vplyvov sp</w:t>
            </w:r>
            <w:r w:rsidR="00636C25" w:rsidRPr="00870D7F">
              <w:rPr>
                <w:rFonts w:eastAsia="Calibri"/>
                <w:bCs/>
                <w:lang w:eastAsia="en-US"/>
              </w:rPr>
              <w:t xml:space="preserve">olu s vyhodnotením pripomienok. </w:t>
            </w:r>
            <w:r w:rsidRPr="00870D7F">
              <w:rPr>
                <w:rFonts w:eastAsia="Calibri"/>
                <w:bCs/>
                <w:lang w:eastAsia="en-U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tc>
      </w:tr>
    </w:tbl>
    <w:p w:rsidR="00252F43" w:rsidRPr="00870D7F" w:rsidRDefault="00252F43" w:rsidP="00252F43">
      <w:pPr>
        <w:rPr>
          <w:b/>
        </w:rPr>
      </w:pPr>
    </w:p>
    <w:p w:rsidR="00252F43" w:rsidRPr="00870D7F" w:rsidRDefault="00252F43" w:rsidP="00252F43"/>
    <w:p w:rsidR="00252F43" w:rsidRPr="00870D7F" w:rsidRDefault="00252F43" w:rsidP="00252F43"/>
    <w:p w:rsidR="00252F43" w:rsidRPr="00870D7F" w:rsidRDefault="00252F43" w:rsidP="00252F43"/>
    <w:p w:rsidR="00252F43" w:rsidRPr="00870D7F" w:rsidRDefault="00252F43" w:rsidP="00252F43"/>
    <w:p w:rsidR="00252F43" w:rsidRPr="00870D7F" w:rsidRDefault="00252F43" w:rsidP="00252F43"/>
    <w:p w:rsidR="00FB7430" w:rsidRPr="00870D7F" w:rsidRDefault="00FB7430" w:rsidP="00252F43"/>
    <w:p w:rsidR="00FB7430" w:rsidRPr="00870D7F" w:rsidRDefault="00FB7430" w:rsidP="00252F43"/>
    <w:p w:rsidR="00FB7430" w:rsidRPr="00870D7F" w:rsidRDefault="00FB7430" w:rsidP="00252F43"/>
    <w:p w:rsidR="00FB7430" w:rsidRPr="00870D7F" w:rsidRDefault="00FB7430" w:rsidP="00252F43"/>
    <w:p w:rsidR="00FB7430" w:rsidRPr="00870D7F" w:rsidRDefault="00FB7430" w:rsidP="00252F43"/>
    <w:p w:rsidR="00FB7430" w:rsidRPr="00870D7F" w:rsidRDefault="00FB7430" w:rsidP="00252F43"/>
    <w:p w:rsidR="00FB7430" w:rsidRPr="00870D7F" w:rsidRDefault="00FB7430" w:rsidP="00252F43"/>
    <w:p w:rsidR="00FB7430" w:rsidRPr="00870D7F" w:rsidRDefault="00FB7430" w:rsidP="00252F43"/>
    <w:p w:rsidR="00FB7430" w:rsidRDefault="00FB7430" w:rsidP="00252F43"/>
    <w:p w:rsidR="001A0D26" w:rsidRDefault="001A0D26" w:rsidP="00252F43"/>
    <w:p w:rsidR="001A0D26" w:rsidRDefault="001A0D26" w:rsidP="00252F43"/>
    <w:p w:rsidR="001A0D26" w:rsidRPr="00870D7F" w:rsidRDefault="001A0D26" w:rsidP="00252F43"/>
    <w:p w:rsidR="00FB7430" w:rsidRDefault="00FB7430" w:rsidP="00252F43"/>
    <w:p w:rsidR="008A4872" w:rsidRPr="00870D7F" w:rsidRDefault="008A4872" w:rsidP="00252F43"/>
    <w:p w:rsidR="00FB7430" w:rsidRDefault="00FB7430" w:rsidP="00252F43"/>
    <w:p w:rsidR="00E9603A" w:rsidRDefault="00E9603A" w:rsidP="00252F43"/>
    <w:p w:rsidR="00E9603A" w:rsidRPr="00870D7F" w:rsidRDefault="00E9603A" w:rsidP="00252F43"/>
    <w:p w:rsidR="00252F43" w:rsidRPr="00870D7F" w:rsidRDefault="00252F43" w:rsidP="00252F43">
      <w:pPr>
        <w:jc w:val="center"/>
        <w:rPr>
          <w:b/>
          <w:bCs/>
          <w:sz w:val="28"/>
          <w:szCs w:val="28"/>
        </w:rPr>
      </w:pPr>
      <w:r w:rsidRPr="00870D7F">
        <w:rPr>
          <w:b/>
          <w:bCs/>
          <w:sz w:val="28"/>
          <w:szCs w:val="28"/>
        </w:rPr>
        <w:lastRenderedPageBreak/>
        <w:t>Analýza vplyvov na rozpočet verejnej správy,</w:t>
      </w:r>
    </w:p>
    <w:p w:rsidR="00252F43" w:rsidRPr="00870D7F" w:rsidRDefault="00252F43" w:rsidP="00252F43">
      <w:pPr>
        <w:jc w:val="center"/>
        <w:rPr>
          <w:b/>
          <w:bCs/>
          <w:sz w:val="28"/>
          <w:szCs w:val="28"/>
        </w:rPr>
      </w:pPr>
      <w:r w:rsidRPr="00870D7F">
        <w:rPr>
          <w:b/>
          <w:bCs/>
          <w:sz w:val="28"/>
          <w:szCs w:val="28"/>
        </w:rPr>
        <w:t>na zamestnanosť vo verejnej správe a financovanie návrhu</w:t>
      </w:r>
    </w:p>
    <w:p w:rsidR="00252F43" w:rsidRPr="00870D7F" w:rsidRDefault="00252F43" w:rsidP="00252F43">
      <w:pPr>
        <w:jc w:val="right"/>
        <w:rPr>
          <w:b/>
          <w:bCs/>
          <w:sz w:val="24"/>
          <w:szCs w:val="24"/>
        </w:rPr>
      </w:pPr>
    </w:p>
    <w:p w:rsidR="00252F43" w:rsidRPr="00870D7F" w:rsidRDefault="00252F43" w:rsidP="00252F43">
      <w:pPr>
        <w:rPr>
          <w:b/>
          <w:bCs/>
          <w:sz w:val="24"/>
          <w:szCs w:val="24"/>
        </w:rPr>
      </w:pPr>
    </w:p>
    <w:p w:rsidR="00252F43" w:rsidRPr="00870D7F" w:rsidRDefault="00252F43" w:rsidP="00252F43">
      <w:pPr>
        <w:rPr>
          <w:b/>
          <w:bCs/>
          <w:sz w:val="24"/>
          <w:szCs w:val="24"/>
        </w:rPr>
      </w:pPr>
      <w:r w:rsidRPr="00870D7F">
        <w:rPr>
          <w:b/>
          <w:bCs/>
          <w:sz w:val="24"/>
          <w:szCs w:val="24"/>
        </w:rPr>
        <w:t>2.1 Zhrnutie vplyvov na rozpočet verejnej správy v návrhu</w:t>
      </w:r>
    </w:p>
    <w:p w:rsidR="00252F43" w:rsidRPr="00870D7F" w:rsidRDefault="00252F43" w:rsidP="00252F43">
      <w:pPr>
        <w:jc w:val="right"/>
      </w:pPr>
    </w:p>
    <w:p w:rsidR="00252F43" w:rsidRPr="00870D7F" w:rsidRDefault="00252F43" w:rsidP="00252F43">
      <w:pPr>
        <w:spacing w:after="120"/>
        <w:jc w:val="right"/>
        <w:rPr>
          <w:sz w:val="24"/>
          <w:szCs w:val="24"/>
        </w:rPr>
      </w:pPr>
      <w:r w:rsidRPr="00870D7F">
        <w:rPr>
          <w:sz w:val="24"/>
          <w:szCs w:val="24"/>
        </w:rPr>
        <w:t xml:space="preserve">Tabuľka č. 1 </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1"/>
        <w:gridCol w:w="1186"/>
        <w:gridCol w:w="1275"/>
        <w:gridCol w:w="1276"/>
        <w:gridCol w:w="1309"/>
      </w:tblGrid>
      <w:tr w:rsidR="00252F43" w:rsidRPr="00870D7F" w:rsidTr="00252F43">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52F43" w:rsidRPr="00870D7F" w:rsidRDefault="00252F43">
            <w:pPr>
              <w:spacing w:line="256" w:lineRule="auto"/>
              <w:jc w:val="center"/>
              <w:rPr>
                <w:b/>
                <w:bCs/>
                <w:lang w:eastAsia="en-US"/>
              </w:rPr>
            </w:pPr>
            <w:bookmarkStart w:id="1" w:name="OLE_LINK1"/>
            <w:r w:rsidRPr="00870D7F">
              <w:rPr>
                <w:b/>
                <w:bCs/>
                <w:lang w:eastAsia="en-US"/>
              </w:rPr>
              <w:t>Vplyvy na rozpočet verejnej správy</w:t>
            </w:r>
          </w:p>
        </w:tc>
        <w:tc>
          <w:tcPr>
            <w:tcW w:w="50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2F43" w:rsidRPr="00870D7F" w:rsidRDefault="00252F43">
            <w:pPr>
              <w:spacing w:line="256" w:lineRule="auto"/>
              <w:jc w:val="center"/>
              <w:rPr>
                <w:b/>
                <w:bCs/>
                <w:lang w:eastAsia="en-US"/>
              </w:rPr>
            </w:pPr>
            <w:r w:rsidRPr="00870D7F">
              <w:rPr>
                <w:b/>
                <w:bCs/>
                <w:lang w:eastAsia="en-US"/>
              </w:rPr>
              <w:t>Vplyv na rozpočet verejnej správy (v tis. eurách)</w:t>
            </w:r>
          </w:p>
        </w:tc>
      </w:tr>
      <w:tr w:rsidR="00252F43" w:rsidRPr="00870D7F" w:rsidTr="00252F43">
        <w:trPr>
          <w:cantSplit/>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F43" w:rsidRPr="00870D7F" w:rsidRDefault="00252F43">
            <w:pPr>
              <w:spacing w:line="256" w:lineRule="auto"/>
              <w:rPr>
                <w:b/>
                <w:bCs/>
                <w:lang w:eastAsia="en-US"/>
              </w:rPr>
            </w:pPr>
          </w:p>
        </w:tc>
        <w:tc>
          <w:tcPr>
            <w:tcW w:w="1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52F43" w:rsidRPr="00870D7F" w:rsidRDefault="00F74260">
            <w:pPr>
              <w:spacing w:line="256" w:lineRule="auto"/>
              <w:jc w:val="center"/>
              <w:rPr>
                <w:b/>
                <w:bCs/>
                <w:lang w:eastAsia="en-US"/>
              </w:rPr>
            </w:pPr>
            <w:r>
              <w:rPr>
                <w:b/>
                <w:bCs/>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52F43" w:rsidRPr="00870D7F" w:rsidRDefault="00F74260">
            <w:pPr>
              <w:spacing w:line="256" w:lineRule="auto"/>
              <w:jc w:val="center"/>
              <w:rPr>
                <w:b/>
                <w:bCs/>
                <w:lang w:eastAsia="en-US"/>
              </w:rPr>
            </w:pPr>
            <w:r>
              <w:rPr>
                <w:b/>
                <w:bCs/>
                <w:lang w:eastAsia="en-US"/>
              </w:rPr>
              <w:t>2018</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74260" w:rsidRPr="00870D7F" w:rsidRDefault="00F74260" w:rsidP="00F74260">
            <w:pPr>
              <w:spacing w:line="256" w:lineRule="auto"/>
              <w:jc w:val="center"/>
              <w:rPr>
                <w:b/>
                <w:bCs/>
                <w:lang w:eastAsia="en-US"/>
              </w:rPr>
            </w:pPr>
            <w:r>
              <w:rPr>
                <w:b/>
                <w:bCs/>
                <w:lang w:eastAsia="en-US"/>
              </w:rPr>
              <w:t>2019</w:t>
            </w:r>
          </w:p>
        </w:tc>
        <w:tc>
          <w:tcPr>
            <w:tcW w:w="13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2F43" w:rsidRPr="00870D7F" w:rsidRDefault="00F74260">
            <w:pPr>
              <w:spacing w:line="256" w:lineRule="auto"/>
              <w:jc w:val="center"/>
              <w:rPr>
                <w:b/>
                <w:bCs/>
                <w:lang w:eastAsia="en-US"/>
              </w:rPr>
            </w:pPr>
            <w:r>
              <w:rPr>
                <w:b/>
                <w:bCs/>
                <w:lang w:eastAsia="en-US"/>
              </w:rPr>
              <w:t>2020</w:t>
            </w:r>
          </w:p>
        </w:tc>
      </w:tr>
      <w:tr w:rsidR="00252F43" w:rsidRPr="00870D7F" w:rsidTr="00252F4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52F43" w:rsidRPr="00870D7F" w:rsidRDefault="00252F43">
            <w:pPr>
              <w:spacing w:line="256" w:lineRule="auto"/>
              <w:rPr>
                <w:lang w:eastAsia="en-US"/>
              </w:rPr>
            </w:pPr>
            <w:r w:rsidRPr="00870D7F">
              <w:rPr>
                <w:b/>
                <w:bCs/>
                <w:lang w:eastAsia="en-US"/>
              </w:rPr>
              <w:t>Príjmy verejnej správy celkom</w:t>
            </w:r>
          </w:p>
        </w:tc>
        <w:tc>
          <w:tcPr>
            <w:tcW w:w="118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52F43" w:rsidRPr="00870D7F" w:rsidRDefault="00252F43">
            <w:pPr>
              <w:spacing w:line="256" w:lineRule="auto"/>
              <w:jc w:val="right"/>
              <w:rPr>
                <w:b/>
                <w:bCs/>
                <w:lang w:eastAsia="en-US"/>
              </w:rPr>
            </w:pPr>
            <w:r w:rsidRPr="00870D7F">
              <w:rPr>
                <w:b/>
                <w:bCs/>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52F43" w:rsidRPr="00870D7F" w:rsidRDefault="00252F43">
            <w:pPr>
              <w:spacing w:line="256" w:lineRule="auto"/>
              <w:jc w:val="right"/>
              <w:rPr>
                <w:b/>
                <w:bCs/>
                <w:lang w:eastAsia="en-US"/>
              </w:rPr>
            </w:pPr>
            <w:r w:rsidRPr="00870D7F">
              <w:rPr>
                <w:b/>
                <w:bCs/>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252F43" w:rsidRPr="00870D7F" w:rsidRDefault="00252F43">
            <w:pPr>
              <w:spacing w:line="256" w:lineRule="auto"/>
              <w:jc w:val="right"/>
              <w:rPr>
                <w:b/>
                <w:bCs/>
                <w:lang w:eastAsia="en-US"/>
              </w:rPr>
            </w:pPr>
            <w:r w:rsidRPr="00870D7F">
              <w:rPr>
                <w:b/>
                <w:bCs/>
                <w:lang w:eastAsia="en-US"/>
              </w:rPr>
              <w:t>0</w:t>
            </w:r>
          </w:p>
        </w:tc>
        <w:tc>
          <w:tcPr>
            <w:tcW w:w="1309" w:type="dxa"/>
            <w:tcBorders>
              <w:top w:val="single" w:sz="4" w:space="0" w:color="auto"/>
              <w:left w:val="single" w:sz="4" w:space="0" w:color="auto"/>
              <w:bottom w:val="single" w:sz="4" w:space="0" w:color="auto"/>
              <w:right w:val="single" w:sz="4" w:space="0" w:color="auto"/>
            </w:tcBorders>
            <w:shd w:val="clear" w:color="auto" w:fill="C0C0C0"/>
            <w:hideMark/>
          </w:tcPr>
          <w:p w:rsidR="00252F43" w:rsidRPr="00870D7F" w:rsidRDefault="00252F43">
            <w:pPr>
              <w:spacing w:line="256" w:lineRule="auto"/>
              <w:jc w:val="right"/>
              <w:rPr>
                <w:b/>
                <w:bCs/>
                <w:lang w:eastAsia="en-US"/>
              </w:rPr>
            </w:pPr>
            <w:r w:rsidRPr="00870D7F">
              <w:rPr>
                <w:b/>
                <w:bCs/>
                <w:lang w:eastAsia="en-US"/>
              </w:rPr>
              <w:t>0</w:t>
            </w:r>
          </w:p>
        </w:tc>
      </w:tr>
      <w:tr w:rsidR="00252F43" w:rsidRPr="00870D7F" w:rsidTr="00252F43">
        <w:trPr>
          <w:trHeight w:val="132"/>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rPr>
                <w:lang w:eastAsia="en-US"/>
              </w:rPr>
            </w:pPr>
            <w:r w:rsidRPr="00870D7F">
              <w:rPr>
                <w:lang w:eastAsia="en-US"/>
              </w:rPr>
              <w:t>v tom: za každý subjekt verejnej správy zvlášť</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lang w:eastAsia="en-US"/>
              </w:rPr>
            </w:pPr>
            <w:r w:rsidRPr="00870D7F">
              <w:rPr>
                <w:lang w:eastAsia="en-US"/>
              </w:rPr>
              <w:t>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lang w:eastAsia="en-US"/>
              </w:rPr>
            </w:pPr>
            <w:r w:rsidRPr="00870D7F">
              <w:rPr>
                <w:lang w:eastAsia="en-US"/>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lang w:eastAsia="en-US"/>
              </w:rPr>
            </w:pPr>
            <w:r w:rsidRPr="00870D7F">
              <w:rPr>
                <w:lang w:eastAsia="en-US"/>
              </w:rPr>
              <w:t>0</w:t>
            </w:r>
          </w:p>
        </w:tc>
        <w:tc>
          <w:tcPr>
            <w:tcW w:w="1309" w:type="dxa"/>
            <w:tcBorders>
              <w:top w:val="single" w:sz="4" w:space="0" w:color="auto"/>
              <w:left w:val="single" w:sz="4" w:space="0" w:color="auto"/>
              <w:bottom w:val="single" w:sz="4" w:space="0" w:color="auto"/>
              <w:right w:val="single" w:sz="4" w:space="0" w:color="auto"/>
            </w:tcBorders>
            <w:hideMark/>
          </w:tcPr>
          <w:p w:rsidR="00252F43" w:rsidRPr="00870D7F" w:rsidRDefault="00252F43">
            <w:pPr>
              <w:spacing w:line="256" w:lineRule="auto"/>
              <w:jc w:val="right"/>
              <w:rPr>
                <w:lang w:eastAsia="en-US"/>
              </w:rPr>
            </w:pPr>
            <w:r w:rsidRPr="00870D7F">
              <w:rPr>
                <w:lang w:eastAsia="en-US"/>
              </w:rPr>
              <w:t>0</w:t>
            </w:r>
          </w:p>
        </w:tc>
      </w:tr>
      <w:tr w:rsidR="00252F43" w:rsidRPr="00870D7F" w:rsidTr="00252F4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rPr>
                <w:b/>
                <w:bCs/>
                <w:i/>
                <w:iCs/>
                <w:lang w:eastAsia="en-US"/>
              </w:rPr>
            </w:pPr>
            <w:r w:rsidRPr="00870D7F">
              <w:rPr>
                <w:b/>
                <w:bCs/>
                <w:i/>
                <w:iCs/>
                <w:lang w:eastAsia="en-US"/>
              </w:rPr>
              <w:t xml:space="preserve">z toho:  </w:t>
            </w:r>
          </w:p>
        </w:tc>
        <w:tc>
          <w:tcPr>
            <w:tcW w:w="1186" w:type="dxa"/>
            <w:tcBorders>
              <w:top w:val="single" w:sz="4" w:space="0" w:color="auto"/>
              <w:left w:val="single" w:sz="4" w:space="0" w:color="auto"/>
              <w:bottom w:val="single" w:sz="4" w:space="0" w:color="auto"/>
              <w:right w:val="single" w:sz="4" w:space="0" w:color="auto"/>
            </w:tcBorders>
            <w:noWrap/>
            <w:vAlign w:val="center"/>
          </w:tcPr>
          <w:p w:rsidR="00252F43" w:rsidRPr="00870D7F" w:rsidRDefault="00252F43">
            <w:pPr>
              <w:spacing w:line="256" w:lineRule="auto"/>
              <w:jc w:val="right"/>
              <w:rPr>
                <w:b/>
                <w:bCs/>
                <w:iCs/>
                <w:lang w:eastAsia="en-US"/>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252F43" w:rsidRPr="00870D7F" w:rsidRDefault="00252F43">
            <w:pPr>
              <w:spacing w:line="256" w:lineRule="auto"/>
              <w:jc w:val="right"/>
              <w:rPr>
                <w:b/>
                <w:bCs/>
                <w:iCs/>
                <w:lang w:eastAsia="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52F43" w:rsidRPr="00870D7F" w:rsidRDefault="00252F43">
            <w:pPr>
              <w:spacing w:line="256" w:lineRule="auto"/>
              <w:jc w:val="right"/>
              <w:rPr>
                <w:b/>
                <w:bCs/>
                <w:iCs/>
                <w:lang w:eastAsia="en-US"/>
              </w:rPr>
            </w:pPr>
          </w:p>
        </w:tc>
        <w:tc>
          <w:tcPr>
            <w:tcW w:w="1309" w:type="dxa"/>
            <w:tcBorders>
              <w:top w:val="single" w:sz="4" w:space="0" w:color="auto"/>
              <w:left w:val="single" w:sz="4" w:space="0" w:color="auto"/>
              <w:bottom w:val="single" w:sz="4" w:space="0" w:color="auto"/>
              <w:right w:val="single" w:sz="4" w:space="0" w:color="auto"/>
            </w:tcBorders>
          </w:tcPr>
          <w:p w:rsidR="00252F43" w:rsidRPr="00870D7F" w:rsidRDefault="00252F43">
            <w:pPr>
              <w:spacing w:line="256" w:lineRule="auto"/>
              <w:jc w:val="right"/>
              <w:rPr>
                <w:b/>
                <w:bCs/>
                <w:iCs/>
                <w:lang w:eastAsia="en-US"/>
              </w:rPr>
            </w:pPr>
          </w:p>
        </w:tc>
      </w:tr>
      <w:tr w:rsidR="00252F43" w:rsidRPr="00870D7F" w:rsidTr="00252F4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rPr>
                <w:b/>
                <w:bCs/>
                <w:i/>
                <w:iCs/>
                <w:lang w:eastAsia="en-US"/>
              </w:rPr>
            </w:pPr>
            <w:r w:rsidRPr="00870D7F">
              <w:rPr>
                <w:b/>
                <w:bCs/>
                <w:i/>
                <w:iCs/>
                <w:lang w:eastAsia="en-US"/>
              </w:rPr>
              <w:t>- vplyv na ŠR</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309" w:type="dxa"/>
            <w:tcBorders>
              <w:top w:val="single" w:sz="4" w:space="0" w:color="auto"/>
              <w:left w:val="single" w:sz="4" w:space="0" w:color="auto"/>
              <w:bottom w:val="single" w:sz="4" w:space="0" w:color="auto"/>
              <w:right w:val="single" w:sz="4" w:space="0" w:color="auto"/>
            </w:tcBorders>
            <w:hideMark/>
          </w:tcPr>
          <w:p w:rsidR="00252F43" w:rsidRPr="00870D7F" w:rsidRDefault="00252F43">
            <w:pPr>
              <w:spacing w:line="256" w:lineRule="auto"/>
              <w:jc w:val="right"/>
              <w:rPr>
                <w:b/>
                <w:bCs/>
                <w:iCs/>
                <w:lang w:eastAsia="en-US"/>
              </w:rPr>
            </w:pPr>
            <w:r w:rsidRPr="00870D7F">
              <w:rPr>
                <w:b/>
                <w:bCs/>
                <w:iCs/>
                <w:lang w:eastAsia="en-US"/>
              </w:rPr>
              <w:t>0</w:t>
            </w:r>
          </w:p>
        </w:tc>
      </w:tr>
      <w:tr w:rsidR="00252F43" w:rsidRPr="00870D7F" w:rsidTr="00252F4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ind w:left="259"/>
              <w:rPr>
                <w:b/>
                <w:bCs/>
                <w:i/>
                <w:iCs/>
                <w:lang w:eastAsia="en-US"/>
              </w:rPr>
            </w:pPr>
            <w:r w:rsidRPr="00870D7F">
              <w:rPr>
                <w:bCs/>
                <w:i/>
                <w:iCs/>
                <w:lang w:eastAsia="en-US"/>
              </w:rPr>
              <w:t>Rozpočtové prostriedky</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Cs/>
                <w:iCs/>
                <w:lang w:eastAsia="en-US"/>
              </w:rPr>
            </w:pPr>
            <w:r w:rsidRPr="00870D7F">
              <w:rPr>
                <w:bCs/>
                <w:iCs/>
                <w:lang w:eastAsia="en-US"/>
              </w:rPr>
              <w:t>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Cs/>
                <w:iCs/>
                <w:lang w:eastAsia="en-US"/>
              </w:rPr>
            </w:pPr>
            <w:r w:rsidRPr="00870D7F">
              <w:rPr>
                <w:bCs/>
                <w:iCs/>
                <w:lang w:eastAsia="en-US"/>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Cs/>
                <w:iCs/>
                <w:lang w:eastAsia="en-US"/>
              </w:rPr>
            </w:pPr>
            <w:r w:rsidRPr="00870D7F">
              <w:rPr>
                <w:bCs/>
                <w:iCs/>
                <w:lang w:eastAsia="en-US"/>
              </w:rPr>
              <w:t>0</w:t>
            </w:r>
          </w:p>
        </w:tc>
        <w:tc>
          <w:tcPr>
            <w:tcW w:w="1309" w:type="dxa"/>
            <w:tcBorders>
              <w:top w:val="single" w:sz="4" w:space="0" w:color="auto"/>
              <w:left w:val="single" w:sz="4" w:space="0" w:color="auto"/>
              <w:bottom w:val="single" w:sz="4" w:space="0" w:color="auto"/>
              <w:right w:val="single" w:sz="4" w:space="0" w:color="auto"/>
            </w:tcBorders>
            <w:hideMark/>
          </w:tcPr>
          <w:p w:rsidR="00252F43" w:rsidRPr="00870D7F" w:rsidRDefault="00252F43">
            <w:pPr>
              <w:spacing w:line="256" w:lineRule="auto"/>
              <w:jc w:val="right"/>
              <w:rPr>
                <w:bCs/>
                <w:iCs/>
                <w:lang w:eastAsia="en-US"/>
              </w:rPr>
            </w:pPr>
            <w:r w:rsidRPr="00870D7F">
              <w:rPr>
                <w:bCs/>
                <w:iCs/>
                <w:lang w:eastAsia="en-US"/>
              </w:rPr>
              <w:t>0</w:t>
            </w:r>
          </w:p>
        </w:tc>
      </w:tr>
      <w:tr w:rsidR="00252F43" w:rsidRPr="00870D7F" w:rsidTr="00252F4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ind w:left="259"/>
              <w:rPr>
                <w:bCs/>
                <w:i/>
                <w:iCs/>
                <w:lang w:eastAsia="en-US"/>
              </w:rPr>
            </w:pPr>
            <w:r w:rsidRPr="00870D7F">
              <w:rPr>
                <w:bCs/>
                <w:i/>
                <w:iCs/>
                <w:lang w:eastAsia="en-US"/>
              </w:rPr>
              <w:t>EÚ zdroje</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lang w:eastAsia="en-US"/>
              </w:rPr>
            </w:pPr>
            <w:r w:rsidRPr="00870D7F">
              <w:rPr>
                <w:lang w:eastAsia="en-US"/>
              </w:rPr>
              <w:t>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lang w:eastAsia="en-US"/>
              </w:rPr>
            </w:pPr>
            <w:r w:rsidRPr="00870D7F">
              <w:rPr>
                <w:lang w:eastAsia="en-US"/>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lang w:eastAsia="en-US"/>
              </w:rPr>
            </w:pPr>
            <w:r w:rsidRPr="00870D7F">
              <w:rPr>
                <w:lang w:eastAsia="en-US"/>
              </w:rPr>
              <w:t>0</w:t>
            </w:r>
          </w:p>
        </w:tc>
        <w:tc>
          <w:tcPr>
            <w:tcW w:w="1309" w:type="dxa"/>
            <w:tcBorders>
              <w:top w:val="single" w:sz="4" w:space="0" w:color="auto"/>
              <w:left w:val="single" w:sz="4" w:space="0" w:color="auto"/>
              <w:bottom w:val="single" w:sz="4" w:space="0" w:color="auto"/>
              <w:right w:val="single" w:sz="4" w:space="0" w:color="auto"/>
            </w:tcBorders>
            <w:hideMark/>
          </w:tcPr>
          <w:p w:rsidR="00252F43" w:rsidRPr="00870D7F" w:rsidRDefault="00252F43">
            <w:pPr>
              <w:spacing w:line="256" w:lineRule="auto"/>
              <w:jc w:val="right"/>
              <w:rPr>
                <w:lang w:eastAsia="en-US"/>
              </w:rPr>
            </w:pPr>
            <w:r w:rsidRPr="00870D7F">
              <w:rPr>
                <w:lang w:eastAsia="en-US"/>
              </w:rPr>
              <w:t>0</w:t>
            </w:r>
          </w:p>
        </w:tc>
      </w:tr>
      <w:tr w:rsidR="00252F43" w:rsidRPr="00870D7F" w:rsidTr="00252F4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rPr>
                <w:b/>
                <w:bCs/>
                <w:i/>
                <w:iCs/>
                <w:lang w:eastAsia="en-US"/>
              </w:rPr>
            </w:pPr>
            <w:r w:rsidRPr="00870D7F">
              <w:rPr>
                <w:b/>
                <w:bCs/>
                <w:i/>
                <w:iCs/>
                <w:lang w:eastAsia="en-US"/>
              </w:rPr>
              <w:t>- vplyv na obce</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309" w:type="dxa"/>
            <w:tcBorders>
              <w:top w:val="single" w:sz="4" w:space="0" w:color="auto"/>
              <w:left w:val="single" w:sz="4" w:space="0" w:color="auto"/>
              <w:bottom w:val="single" w:sz="4" w:space="0" w:color="auto"/>
              <w:right w:val="single" w:sz="4" w:space="0" w:color="auto"/>
            </w:tcBorders>
            <w:hideMark/>
          </w:tcPr>
          <w:p w:rsidR="00252F43" w:rsidRPr="00870D7F" w:rsidRDefault="00252F43">
            <w:pPr>
              <w:spacing w:line="256" w:lineRule="auto"/>
              <w:jc w:val="right"/>
              <w:rPr>
                <w:b/>
                <w:bCs/>
                <w:iCs/>
                <w:lang w:eastAsia="en-US"/>
              </w:rPr>
            </w:pPr>
            <w:r w:rsidRPr="00870D7F">
              <w:rPr>
                <w:b/>
                <w:bCs/>
                <w:iCs/>
                <w:lang w:eastAsia="en-US"/>
              </w:rPr>
              <w:t>0</w:t>
            </w:r>
          </w:p>
        </w:tc>
      </w:tr>
      <w:tr w:rsidR="00252F43" w:rsidRPr="00870D7F" w:rsidTr="00252F4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rPr>
                <w:b/>
                <w:bCs/>
                <w:i/>
                <w:iCs/>
                <w:lang w:eastAsia="en-US"/>
              </w:rPr>
            </w:pPr>
            <w:r w:rsidRPr="00870D7F">
              <w:rPr>
                <w:b/>
                <w:bCs/>
                <w:i/>
                <w:iCs/>
                <w:lang w:eastAsia="en-US"/>
              </w:rPr>
              <w:t>- vplyv na vyššie územné celky</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309" w:type="dxa"/>
            <w:tcBorders>
              <w:top w:val="single" w:sz="4" w:space="0" w:color="auto"/>
              <w:left w:val="single" w:sz="4" w:space="0" w:color="auto"/>
              <w:bottom w:val="single" w:sz="4" w:space="0" w:color="auto"/>
              <w:right w:val="single" w:sz="4" w:space="0" w:color="auto"/>
            </w:tcBorders>
            <w:hideMark/>
          </w:tcPr>
          <w:p w:rsidR="00252F43" w:rsidRPr="00870D7F" w:rsidRDefault="00252F43">
            <w:pPr>
              <w:spacing w:line="256" w:lineRule="auto"/>
              <w:jc w:val="right"/>
              <w:rPr>
                <w:b/>
                <w:bCs/>
                <w:iCs/>
                <w:lang w:eastAsia="en-US"/>
              </w:rPr>
            </w:pPr>
            <w:r w:rsidRPr="00870D7F">
              <w:rPr>
                <w:b/>
                <w:bCs/>
                <w:iCs/>
                <w:lang w:eastAsia="en-US"/>
              </w:rPr>
              <w:t>0</w:t>
            </w:r>
          </w:p>
        </w:tc>
      </w:tr>
      <w:tr w:rsidR="00252F43" w:rsidRPr="00870D7F" w:rsidTr="00252F4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rPr>
                <w:b/>
                <w:bCs/>
                <w:i/>
                <w:iCs/>
                <w:lang w:eastAsia="en-US"/>
              </w:rPr>
            </w:pPr>
            <w:r w:rsidRPr="00870D7F">
              <w:rPr>
                <w:b/>
                <w:bCs/>
                <w:i/>
                <w:iCs/>
                <w:lang w:eastAsia="en-US"/>
              </w:rPr>
              <w:t>- vplyv na ostatné subjekty verejnej správy</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309" w:type="dxa"/>
            <w:tcBorders>
              <w:top w:val="single" w:sz="4" w:space="0" w:color="auto"/>
              <w:left w:val="single" w:sz="4" w:space="0" w:color="auto"/>
              <w:bottom w:val="single" w:sz="4" w:space="0" w:color="auto"/>
              <w:right w:val="single" w:sz="4" w:space="0" w:color="auto"/>
            </w:tcBorders>
            <w:hideMark/>
          </w:tcPr>
          <w:p w:rsidR="00252F43" w:rsidRPr="00870D7F" w:rsidRDefault="00252F43">
            <w:pPr>
              <w:spacing w:line="256" w:lineRule="auto"/>
              <w:jc w:val="right"/>
              <w:rPr>
                <w:b/>
                <w:bCs/>
                <w:iCs/>
                <w:lang w:eastAsia="en-US"/>
              </w:rPr>
            </w:pPr>
            <w:r w:rsidRPr="00870D7F">
              <w:rPr>
                <w:b/>
                <w:bCs/>
                <w:iCs/>
                <w:lang w:eastAsia="en-US"/>
              </w:rPr>
              <w:t>0</w:t>
            </w:r>
          </w:p>
        </w:tc>
      </w:tr>
      <w:tr w:rsidR="00252F43" w:rsidRPr="00870D7F" w:rsidTr="00252F43">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52F43" w:rsidRPr="00870D7F" w:rsidRDefault="00252F43">
            <w:pPr>
              <w:spacing w:line="256" w:lineRule="auto"/>
              <w:rPr>
                <w:b/>
                <w:bCs/>
                <w:lang w:eastAsia="en-US"/>
              </w:rPr>
            </w:pPr>
            <w:r w:rsidRPr="00870D7F">
              <w:rPr>
                <w:b/>
                <w:bCs/>
                <w:lang w:eastAsia="en-US"/>
              </w:rPr>
              <w:t>Výdavky verejnej správy celkom</w:t>
            </w:r>
          </w:p>
        </w:tc>
        <w:tc>
          <w:tcPr>
            <w:tcW w:w="1186"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52F43" w:rsidRPr="00870D7F" w:rsidRDefault="00312B44">
            <w:pPr>
              <w:spacing w:line="256" w:lineRule="auto"/>
              <w:jc w:val="right"/>
              <w:rPr>
                <w:b/>
                <w:bCs/>
                <w:lang w:eastAsia="en-US"/>
              </w:rPr>
            </w:pPr>
            <w:r>
              <w:rPr>
                <w:b/>
                <w:bCs/>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52F43" w:rsidRPr="00870D7F" w:rsidRDefault="00312B44">
            <w:pPr>
              <w:spacing w:line="256" w:lineRule="auto"/>
              <w:jc w:val="right"/>
              <w:rPr>
                <w:b/>
                <w:bCs/>
                <w:lang w:eastAsia="en-US"/>
              </w:rPr>
            </w:pPr>
            <w:r>
              <w:rPr>
                <w:b/>
                <w:bCs/>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52F43" w:rsidRPr="00870D7F" w:rsidRDefault="00312B44">
            <w:pPr>
              <w:spacing w:line="256" w:lineRule="auto"/>
              <w:jc w:val="right"/>
              <w:rPr>
                <w:b/>
                <w:bCs/>
                <w:lang w:eastAsia="en-US"/>
              </w:rPr>
            </w:pPr>
            <w:r>
              <w:rPr>
                <w:b/>
                <w:bCs/>
                <w:lang w:eastAsia="en-US"/>
              </w:rPr>
              <w:t>0</w:t>
            </w:r>
          </w:p>
        </w:tc>
        <w:tc>
          <w:tcPr>
            <w:tcW w:w="1309" w:type="dxa"/>
            <w:tcBorders>
              <w:top w:val="single" w:sz="4" w:space="0" w:color="auto"/>
              <w:left w:val="single" w:sz="4" w:space="0" w:color="auto"/>
              <w:bottom w:val="single" w:sz="4" w:space="0" w:color="auto"/>
              <w:right w:val="single" w:sz="4" w:space="0" w:color="auto"/>
            </w:tcBorders>
            <w:shd w:val="clear" w:color="auto" w:fill="C0C0C0"/>
            <w:hideMark/>
          </w:tcPr>
          <w:p w:rsidR="00252F43" w:rsidRPr="00870D7F" w:rsidRDefault="00312B44">
            <w:pPr>
              <w:spacing w:line="256" w:lineRule="auto"/>
              <w:ind w:left="-70" w:hanging="19"/>
              <w:jc w:val="right"/>
              <w:rPr>
                <w:b/>
                <w:bCs/>
                <w:lang w:eastAsia="en-US"/>
              </w:rPr>
            </w:pPr>
            <w:r>
              <w:rPr>
                <w:b/>
                <w:bCs/>
                <w:lang w:eastAsia="en-US"/>
              </w:rPr>
              <w:t>0</w:t>
            </w:r>
          </w:p>
        </w:tc>
      </w:tr>
      <w:tr w:rsidR="00252F43" w:rsidRPr="00870D7F" w:rsidTr="00252F4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rPr>
                <w:lang w:eastAsia="en-US"/>
              </w:rPr>
            </w:pPr>
            <w:r w:rsidRPr="00870D7F">
              <w:rPr>
                <w:lang w:eastAsia="en-US"/>
              </w:rPr>
              <w:t>Operačný program - OPII (2014-2020)</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312B44">
            <w:pPr>
              <w:spacing w:line="256" w:lineRule="auto"/>
              <w:jc w:val="right"/>
              <w:rPr>
                <w:lang w:eastAsia="en-US"/>
              </w:rPr>
            </w:pPr>
            <w:r>
              <w:rPr>
                <w:lang w:eastAsia="en-US"/>
              </w:rPr>
              <w:t>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312B44">
            <w:pPr>
              <w:spacing w:line="256" w:lineRule="auto"/>
              <w:jc w:val="right"/>
              <w:rPr>
                <w:lang w:eastAsia="en-US"/>
              </w:rPr>
            </w:pPr>
            <w:r>
              <w:rPr>
                <w:lang w:eastAsia="en-US"/>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312B44">
            <w:pPr>
              <w:spacing w:line="256" w:lineRule="auto"/>
              <w:jc w:val="right"/>
              <w:rPr>
                <w:lang w:eastAsia="en-US"/>
              </w:rPr>
            </w:pPr>
            <w:r>
              <w:rPr>
                <w:lang w:eastAsia="en-US"/>
              </w:rPr>
              <w:t>0</w:t>
            </w:r>
          </w:p>
        </w:tc>
        <w:tc>
          <w:tcPr>
            <w:tcW w:w="1309" w:type="dxa"/>
            <w:tcBorders>
              <w:top w:val="single" w:sz="4" w:space="0" w:color="auto"/>
              <w:left w:val="single" w:sz="4" w:space="0" w:color="auto"/>
              <w:bottom w:val="single" w:sz="4" w:space="0" w:color="auto"/>
              <w:right w:val="single" w:sz="4" w:space="0" w:color="auto"/>
            </w:tcBorders>
            <w:hideMark/>
          </w:tcPr>
          <w:p w:rsidR="00252F43" w:rsidRPr="00870D7F" w:rsidRDefault="00312B44">
            <w:pPr>
              <w:spacing w:line="256" w:lineRule="auto"/>
              <w:jc w:val="right"/>
              <w:rPr>
                <w:lang w:eastAsia="en-US"/>
              </w:rPr>
            </w:pPr>
            <w:r>
              <w:rPr>
                <w:lang w:eastAsia="en-US"/>
              </w:rPr>
              <w:t>0</w:t>
            </w:r>
          </w:p>
        </w:tc>
      </w:tr>
      <w:tr w:rsidR="00252F43" w:rsidRPr="00870D7F" w:rsidTr="00252F4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rPr>
                <w:b/>
                <w:bCs/>
                <w:i/>
                <w:iCs/>
                <w:lang w:eastAsia="en-US"/>
              </w:rPr>
            </w:pPr>
            <w:r w:rsidRPr="00870D7F">
              <w:rPr>
                <w:b/>
                <w:bCs/>
                <w:i/>
                <w:iCs/>
                <w:lang w:eastAsia="en-US"/>
              </w:rPr>
              <w:t>v tom:</w:t>
            </w:r>
          </w:p>
        </w:tc>
        <w:tc>
          <w:tcPr>
            <w:tcW w:w="1186" w:type="dxa"/>
            <w:tcBorders>
              <w:top w:val="single" w:sz="4" w:space="0" w:color="auto"/>
              <w:left w:val="single" w:sz="4" w:space="0" w:color="auto"/>
              <w:bottom w:val="single" w:sz="4" w:space="0" w:color="auto"/>
              <w:right w:val="single" w:sz="4" w:space="0" w:color="auto"/>
            </w:tcBorders>
            <w:noWrap/>
            <w:vAlign w:val="center"/>
          </w:tcPr>
          <w:p w:rsidR="00252F43" w:rsidRPr="00870D7F" w:rsidRDefault="00252F43">
            <w:pPr>
              <w:spacing w:line="256" w:lineRule="auto"/>
              <w:jc w:val="right"/>
              <w:rPr>
                <w:b/>
                <w:bCs/>
                <w:iCs/>
                <w:lang w:eastAsia="en-US"/>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252F43" w:rsidRPr="00870D7F" w:rsidRDefault="00252F43">
            <w:pPr>
              <w:spacing w:line="256" w:lineRule="auto"/>
              <w:jc w:val="right"/>
              <w:rPr>
                <w:b/>
                <w:bCs/>
                <w:iCs/>
                <w:lang w:eastAsia="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52F43" w:rsidRPr="00870D7F" w:rsidRDefault="00252F43">
            <w:pPr>
              <w:spacing w:line="256" w:lineRule="auto"/>
              <w:jc w:val="right"/>
              <w:rPr>
                <w:b/>
                <w:bCs/>
                <w:iCs/>
                <w:lang w:eastAsia="en-US"/>
              </w:rPr>
            </w:pPr>
          </w:p>
        </w:tc>
        <w:tc>
          <w:tcPr>
            <w:tcW w:w="1309" w:type="dxa"/>
            <w:tcBorders>
              <w:top w:val="single" w:sz="4" w:space="0" w:color="auto"/>
              <w:left w:val="single" w:sz="4" w:space="0" w:color="auto"/>
              <w:bottom w:val="single" w:sz="4" w:space="0" w:color="auto"/>
              <w:right w:val="single" w:sz="4" w:space="0" w:color="auto"/>
            </w:tcBorders>
          </w:tcPr>
          <w:p w:rsidR="00252F43" w:rsidRPr="00870D7F" w:rsidRDefault="00252F43">
            <w:pPr>
              <w:spacing w:line="256" w:lineRule="auto"/>
              <w:jc w:val="right"/>
              <w:rPr>
                <w:b/>
                <w:bCs/>
                <w:iCs/>
                <w:lang w:eastAsia="en-US"/>
              </w:rPr>
            </w:pPr>
          </w:p>
        </w:tc>
      </w:tr>
      <w:tr w:rsidR="00252F43" w:rsidRPr="00870D7F" w:rsidTr="00252F4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rPr>
                <w:b/>
                <w:bCs/>
                <w:i/>
                <w:iCs/>
                <w:lang w:eastAsia="en-US"/>
              </w:rPr>
            </w:pPr>
            <w:r w:rsidRPr="00870D7F">
              <w:rPr>
                <w:b/>
                <w:bCs/>
                <w:i/>
                <w:iCs/>
                <w:lang w:eastAsia="en-US"/>
              </w:rPr>
              <w:t>- vplyv na ŠR</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309" w:type="dxa"/>
            <w:tcBorders>
              <w:top w:val="single" w:sz="4" w:space="0" w:color="auto"/>
              <w:left w:val="single" w:sz="4" w:space="0" w:color="auto"/>
              <w:bottom w:val="single" w:sz="4" w:space="0" w:color="auto"/>
              <w:right w:val="single" w:sz="4" w:space="0" w:color="auto"/>
            </w:tcBorders>
            <w:hideMark/>
          </w:tcPr>
          <w:p w:rsidR="00252F43" w:rsidRPr="00870D7F" w:rsidRDefault="00252F43">
            <w:pPr>
              <w:spacing w:line="256" w:lineRule="auto"/>
              <w:jc w:val="right"/>
              <w:rPr>
                <w:b/>
                <w:bCs/>
                <w:iCs/>
                <w:lang w:eastAsia="en-US"/>
              </w:rPr>
            </w:pPr>
            <w:r w:rsidRPr="00870D7F">
              <w:rPr>
                <w:b/>
                <w:bCs/>
                <w:iCs/>
                <w:lang w:eastAsia="en-US"/>
              </w:rPr>
              <w:t>0</w:t>
            </w:r>
          </w:p>
        </w:tc>
      </w:tr>
      <w:tr w:rsidR="00252F43" w:rsidRPr="00870D7F" w:rsidTr="00252F4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ind w:left="259"/>
              <w:rPr>
                <w:b/>
                <w:bCs/>
                <w:i/>
                <w:iCs/>
                <w:lang w:eastAsia="en-US"/>
              </w:rPr>
            </w:pPr>
            <w:r w:rsidRPr="00870D7F">
              <w:rPr>
                <w:bCs/>
                <w:i/>
                <w:iCs/>
                <w:lang w:eastAsia="en-US"/>
              </w:rPr>
              <w:t>Rozpočtové prostriedky</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Cs/>
                <w:iCs/>
                <w:lang w:eastAsia="en-US"/>
              </w:rPr>
            </w:pPr>
            <w:r w:rsidRPr="00870D7F">
              <w:rPr>
                <w:bCs/>
                <w:iCs/>
                <w:lang w:eastAsia="en-US"/>
              </w:rPr>
              <w:t>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Cs/>
                <w:iCs/>
                <w:lang w:eastAsia="en-US"/>
              </w:rPr>
            </w:pPr>
            <w:r w:rsidRPr="00870D7F">
              <w:rPr>
                <w:bCs/>
                <w:iCs/>
                <w:lang w:eastAsia="en-US"/>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Cs/>
                <w:iCs/>
                <w:lang w:eastAsia="en-US"/>
              </w:rPr>
            </w:pPr>
            <w:r w:rsidRPr="00870D7F">
              <w:rPr>
                <w:bCs/>
                <w:iCs/>
                <w:lang w:eastAsia="en-US"/>
              </w:rPr>
              <w:t>0</w:t>
            </w:r>
          </w:p>
        </w:tc>
        <w:tc>
          <w:tcPr>
            <w:tcW w:w="1309" w:type="dxa"/>
            <w:tcBorders>
              <w:top w:val="single" w:sz="4" w:space="0" w:color="auto"/>
              <w:left w:val="single" w:sz="4" w:space="0" w:color="auto"/>
              <w:bottom w:val="single" w:sz="4" w:space="0" w:color="auto"/>
              <w:right w:val="single" w:sz="4" w:space="0" w:color="auto"/>
            </w:tcBorders>
            <w:hideMark/>
          </w:tcPr>
          <w:p w:rsidR="00252F43" w:rsidRPr="00870D7F" w:rsidRDefault="00252F43">
            <w:pPr>
              <w:spacing w:line="256" w:lineRule="auto"/>
              <w:jc w:val="right"/>
              <w:rPr>
                <w:bCs/>
                <w:iCs/>
                <w:lang w:eastAsia="en-US"/>
              </w:rPr>
            </w:pPr>
            <w:r w:rsidRPr="00870D7F">
              <w:rPr>
                <w:bCs/>
                <w:iCs/>
                <w:lang w:eastAsia="en-US"/>
              </w:rPr>
              <w:t>0</w:t>
            </w:r>
          </w:p>
        </w:tc>
      </w:tr>
      <w:tr w:rsidR="00252F43" w:rsidRPr="00870D7F" w:rsidTr="00252F4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rPr>
                <w:bCs/>
                <w:i/>
                <w:iCs/>
                <w:lang w:eastAsia="en-US"/>
              </w:rPr>
            </w:pPr>
            <w:r w:rsidRPr="00870D7F">
              <w:rPr>
                <w:bCs/>
                <w:i/>
                <w:iCs/>
                <w:lang w:eastAsia="en-US"/>
              </w:rPr>
              <w:t xml:space="preserve">    EÚ zdroje</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312B44">
            <w:pPr>
              <w:spacing w:line="256" w:lineRule="auto"/>
              <w:jc w:val="right"/>
              <w:rPr>
                <w:lang w:eastAsia="en-US"/>
              </w:rPr>
            </w:pPr>
            <w:r>
              <w:rPr>
                <w:lang w:eastAsia="en-US"/>
              </w:rPr>
              <w:t>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312B44">
            <w:pPr>
              <w:spacing w:line="256" w:lineRule="auto"/>
              <w:jc w:val="right"/>
              <w:rPr>
                <w:lang w:eastAsia="en-US"/>
              </w:rPr>
            </w:pPr>
            <w:r>
              <w:rPr>
                <w:lang w:eastAsia="en-US"/>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312B44">
            <w:pPr>
              <w:spacing w:line="256" w:lineRule="auto"/>
              <w:jc w:val="right"/>
              <w:rPr>
                <w:lang w:eastAsia="en-US"/>
              </w:rPr>
            </w:pPr>
            <w:r>
              <w:rPr>
                <w:lang w:eastAsia="en-US"/>
              </w:rPr>
              <w:t>0</w:t>
            </w:r>
          </w:p>
        </w:tc>
        <w:tc>
          <w:tcPr>
            <w:tcW w:w="1309" w:type="dxa"/>
            <w:tcBorders>
              <w:top w:val="single" w:sz="4" w:space="0" w:color="auto"/>
              <w:left w:val="single" w:sz="4" w:space="0" w:color="auto"/>
              <w:bottom w:val="single" w:sz="4" w:space="0" w:color="auto"/>
              <w:right w:val="single" w:sz="4" w:space="0" w:color="auto"/>
            </w:tcBorders>
            <w:hideMark/>
          </w:tcPr>
          <w:p w:rsidR="00252F43" w:rsidRPr="00870D7F" w:rsidRDefault="00312B44">
            <w:pPr>
              <w:spacing w:line="256" w:lineRule="auto"/>
              <w:jc w:val="right"/>
              <w:rPr>
                <w:lang w:eastAsia="en-US"/>
              </w:rPr>
            </w:pPr>
            <w:r>
              <w:rPr>
                <w:lang w:eastAsia="en-US"/>
              </w:rPr>
              <w:t>0</w:t>
            </w:r>
          </w:p>
        </w:tc>
      </w:tr>
      <w:tr w:rsidR="00252F43" w:rsidRPr="00870D7F" w:rsidTr="00252F4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rPr>
                <w:bCs/>
                <w:i/>
                <w:iCs/>
                <w:lang w:eastAsia="en-US"/>
              </w:rPr>
            </w:pPr>
            <w:r w:rsidRPr="00870D7F">
              <w:rPr>
                <w:bCs/>
                <w:i/>
                <w:iCs/>
                <w:lang w:eastAsia="en-US"/>
              </w:rPr>
              <w:t>Spolufinancovanie (15%)</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312B44">
            <w:pPr>
              <w:spacing w:line="256" w:lineRule="auto"/>
              <w:jc w:val="right"/>
              <w:rPr>
                <w:lang w:eastAsia="en-US"/>
              </w:rPr>
            </w:pPr>
            <w:r>
              <w:rPr>
                <w:lang w:eastAsia="en-US"/>
              </w:rPr>
              <w:t>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312B44">
            <w:pPr>
              <w:spacing w:line="256" w:lineRule="auto"/>
              <w:jc w:val="right"/>
              <w:rPr>
                <w:lang w:eastAsia="en-US"/>
              </w:rPr>
            </w:pPr>
            <w:r>
              <w:rPr>
                <w:lang w:eastAsia="en-US"/>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312B44">
            <w:pPr>
              <w:spacing w:line="256" w:lineRule="auto"/>
              <w:jc w:val="right"/>
              <w:rPr>
                <w:lang w:eastAsia="en-US"/>
              </w:rPr>
            </w:pPr>
            <w:r>
              <w:rPr>
                <w:lang w:eastAsia="en-US"/>
              </w:rPr>
              <w:t>0</w:t>
            </w:r>
          </w:p>
        </w:tc>
        <w:tc>
          <w:tcPr>
            <w:tcW w:w="1309" w:type="dxa"/>
            <w:tcBorders>
              <w:top w:val="single" w:sz="4" w:space="0" w:color="auto"/>
              <w:left w:val="single" w:sz="4" w:space="0" w:color="auto"/>
              <w:bottom w:val="single" w:sz="4" w:space="0" w:color="auto"/>
              <w:right w:val="single" w:sz="4" w:space="0" w:color="auto"/>
            </w:tcBorders>
            <w:hideMark/>
          </w:tcPr>
          <w:p w:rsidR="00252F43" w:rsidRPr="00870D7F" w:rsidRDefault="00312B44">
            <w:pPr>
              <w:spacing w:line="256" w:lineRule="auto"/>
              <w:jc w:val="right"/>
              <w:rPr>
                <w:lang w:eastAsia="en-US"/>
              </w:rPr>
            </w:pPr>
            <w:r>
              <w:rPr>
                <w:lang w:eastAsia="en-US"/>
              </w:rPr>
              <w:t>0</w:t>
            </w:r>
          </w:p>
        </w:tc>
      </w:tr>
      <w:tr w:rsidR="00252F43" w:rsidRPr="00870D7F" w:rsidTr="00252F4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rPr>
                <w:bCs/>
                <w:i/>
                <w:iCs/>
                <w:lang w:eastAsia="en-US"/>
              </w:rPr>
            </w:pPr>
            <w:r w:rsidRPr="00870D7F">
              <w:rPr>
                <w:bCs/>
                <w:i/>
                <w:iCs/>
                <w:lang w:eastAsia="en-US"/>
              </w:rPr>
              <w:t>Rozpočtové prostriedky</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BA0310">
            <w:pPr>
              <w:spacing w:line="256" w:lineRule="auto"/>
              <w:jc w:val="right"/>
              <w:rPr>
                <w:lang w:eastAsia="en-US"/>
              </w:rPr>
            </w:pPr>
            <w:r>
              <w:rPr>
                <w:lang w:eastAsia="en-US"/>
              </w:rPr>
              <w:t>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BA0310">
            <w:pPr>
              <w:spacing w:line="256" w:lineRule="auto"/>
              <w:jc w:val="right"/>
              <w:rPr>
                <w:lang w:eastAsia="en-US"/>
              </w:rPr>
            </w:pPr>
            <w:r>
              <w:rPr>
                <w:lang w:eastAsia="en-US"/>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BA0310">
            <w:pPr>
              <w:spacing w:line="256" w:lineRule="auto"/>
              <w:jc w:val="right"/>
              <w:rPr>
                <w:lang w:eastAsia="en-US"/>
              </w:rPr>
            </w:pPr>
            <w:r>
              <w:rPr>
                <w:lang w:eastAsia="en-US"/>
              </w:rPr>
              <w:t>0</w:t>
            </w:r>
          </w:p>
        </w:tc>
        <w:tc>
          <w:tcPr>
            <w:tcW w:w="1309" w:type="dxa"/>
            <w:tcBorders>
              <w:top w:val="single" w:sz="4" w:space="0" w:color="auto"/>
              <w:left w:val="single" w:sz="4" w:space="0" w:color="auto"/>
              <w:bottom w:val="single" w:sz="4" w:space="0" w:color="auto"/>
              <w:right w:val="single" w:sz="4" w:space="0" w:color="auto"/>
            </w:tcBorders>
            <w:vAlign w:val="center"/>
            <w:hideMark/>
          </w:tcPr>
          <w:p w:rsidR="00252F43" w:rsidRPr="00870D7F" w:rsidRDefault="00BA0310">
            <w:pPr>
              <w:spacing w:line="256" w:lineRule="auto"/>
              <w:jc w:val="right"/>
              <w:rPr>
                <w:lang w:eastAsia="en-US"/>
              </w:rPr>
            </w:pPr>
            <w:r>
              <w:rPr>
                <w:lang w:eastAsia="en-US"/>
              </w:rPr>
              <w:t>0</w:t>
            </w:r>
          </w:p>
        </w:tc>
      </w:tr>
      <w:tr w:rsidR="00252F43" w:rsidRPr="00870D7F" w:rsidTr="00252F4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312B44" w:rsidRDefault="00252F43">
            <w:pPr>
              <w:spacing w:line="256" w:lineRule="auto"/>
              <w:rPr>
                <w:bCs/>
                <w:i/>
                <w:iCs/>
                <w:lang w:eastAsia="en-US"/>
              </w:rPr>
            </w:pPr>
            <w:r w:rsidRPr="00312B44">
              <w:rPr>
                <w:bCs/>
                <w:i/>
                <w:iCs/>
                <w:lang w:eastAsia="en-US"/>
              </w:rPr>
              <w:t>Rozpočtové prostriedky NBÚ</w:t>
            </w:r>
          </w:p>
        </w:tc>
        <w:tc>
          <w:tcPr>
            <w:tcW w:w="1186" w:type="dxa"/>
            <w:tcBorders>
              <w:top w:val="single" w:sz="4" w:space="0" w:color="auto"/>
              <w:left w:val="single" w:sz="4" w:space="0" w:color="auto"/>
              <w:bottom w:val="single" w:sz="4" w:space="0" w:color="auto"/>
              <w:right w:val="single" w:sz="4" w:space="0" w:color="auto"/>
            </w:tcBorders>
            <w:noWrap/>
            <w:vAlign w:val="center"/>
          </w:tcPr>
          <w:p w:rsidR="00252F43" w:rsidRPr="00870D7F" w:rsidRDefault="00252F43">
            <w:pPr>
              <w:spacing w:line="256" w:lineRule="auto"/>
              <w:jc w:val="right"/>
              <w:rPr>
                <w:lang w:eastAsia="en-US"/>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252F43" w:rsidRPr="00870D7F" w:rsidRDefault="00252F43">
            <w:pPr>
              <w:spacing w:line="256" w:lineRule="auto"/>
              <w:jc w:val="right"/>
              <w:rPr>
                <w:lang w:eastAsia="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52F43" w:rsidRPr="00870D7F" w:rsidRDefault="00252F43">
            <w:pPr>
              <w:spacing w:line="256" w:lineRule="auto"/>
              <w:jc w:val="right"/>
              <w:rPr>
                <w:lang w:eastAsia="en-US"/>
              </w:rPr>
            </w:pPr>
          </w:p>
        </w:tc>
        <w:tc>
          <w:tcPr>
            <w:tcW w:w="1309" w:type="dxa"/>
            <w:tcBorders>
              <w:top w:val="single" w:sz="4" w:space="0" w:color="auto"/>
              <w:left w:val="single" w:sz="4" w:space="0" w:color="auto"/>
              <w:bottom w:val="single" w:sz="4" w:space="0" w:color="auto"/>
              <w:right w:val="single" w:sz="4" w:space="0" w:color="auto"/>
            </w:tcBorders>
            <w:vAlign w:val="center"/>
          </w:tcPr>
          <w:p w:rsidR="00252F43" w:rsidRPr="00870D7F" w:rsidRDefault="00252F43">
            <w:pPr>
              <w:spacing w:line="256" w:lineRule="auto"/>
              <w:jc w:val="right"/>
              <w:rPr>
                <w:lang w:eastAsia="en-US"/>
              </w:rPr>
            </w:pPr>
          </w:p>
        </w:tc>
      </w:tr>
      <w:tr w:rsidR="00252F43" w:rsidRPr="00870D7F" w:rsidTr="00252F4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rPr>
                <w:lang w:eastAsia="en-US"/>
              </w:rPr>
            </w:pPr>
            <w:r w:rsidRPr="00870D7F">
              <w:rPr>
                <w:bCs/>
                <w:i/>
                <w:iCs/>
                <w:lang w:eastAsia="en-US"/>
              </w:rPr>
              <w:t>Rozpočtové prostriedky**</w:t>
            </w:r>
          </w:p>
        </w:tc>
        <w:tc>
          <w:tcPr>
            <w:tcW w:w="1186" w:type="dxa"/>
            <w:tcBorders>
              <w:top w:val="single" w:sz="4" w:space="0" w:color="auto"/>
              <w:left w:val="single" w:sz="4" w:space="0" w:color="auto"/>
              <w:bottom w:val="single" w:sz="4" w:space="0" w:color="auto"/>
              <w:right w:val="single" w:sz="4" w:space="0" w:color="auto"/>
            </w:tcBorders>
            <w:noWrap/>
            <w:vAlign w:val="center"/>
          </w:tcPr>
          <w:p w:rsidR="00252F43" w:rsidRPr="00870D7F" w:rsidRDefault="00252F43">
            <w:pPr>
              <w:spacing w:line="256" w:lineRule="auto"/>
              <w:jc w:val="right"/>
              <w:rPr>
                <w:lang w:eastAsia="en-US"/>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252F43" w:rsidRPr="00870D7F" w:rsidRDefault="00252F43">
            <w:pPr>
              <w:spacing w:line="256" w:lineRule="auto"/>
              <w:jc w:val="right"/>
              <w:rPr>
                <w:lang w:eastAsia="en-US"/>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252F43" w:rsidRPr="00870D7F" w:rsidRDefault="00252F43">
            <w:pPr>
              <w:spacing w:line="256" w:lineRule="auto"/>
              <w:jc w:val="right"/>
              <w:rPr>
                <w:lang w:eastAsia="en-US"/>
              </w:rPr>
            </w:pPr>
          </w:p>
        </w:tc>
        <w:tc>
          <w:tcPr>
            <w:tcW w:w="1309" w:type="dxa"/>
            <w:tcBorders>
              <w:top w:val="single" w:sz="4" w:space="0" w:color="auto"/>
              <w:left w:val="single" w:sz="4" w:space="0" w:color="auto"/>
              <w:bottom w:val="single" w:sz="4" w:space="0" w:color="auto"/>
              <w:right w:val="single" w:sz="4" w:space="0" w:color="auto"/>
            </w:tcBorders>
          </w:tcPr>
          <w:p w:rsidR="00252F43" w:rsidRPr="00870D7F" w:rsidRDefault="00252F43">
            <w:pPr>
              <w:spacing w:line="256" w:lineRule="auto"/>
              <w:jc w:val="right"/>
              <w:rPr>
                <w:lang w:eastAsia="en-US"/>
              </w:rPr>
            </w:pPr>
          </w:p>
        </w:tc>
      </w:tr>
      <w:tr w:rsidR="00252F43" w:rsidRPr="00870D7F" w:rsidTr="00252F4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rPr>
                <w:b/>
                <w:bCs/>
                <w:i/>
                <w:iCs/>
                <w:lang w:eastAsia="en-US"/>
              </w:rPr>
            </w:pPr>
            <w:r w:rsidRPr="00870D7F">
              <w:rPr>
                <w:b/>
                <w:bCs/>
                <w:i/>
                <w:iCs/>
                <w:lang w:eastAsia="en-US"/>
              </w:rPr>
              <w:t>- vplyv na obce</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309" w:type="dxa"/>
            <w:tcBorders>
              <w:top w:val="single" w:sz="4" w:space="0" w:color="auto"/>
              <w:left w:val="single" w:sz="4" w:space="0" w:color="auto"/>
              <w:bottom w:val="single" w:sz="4" w:space="0" w:color="auto"/>
              <w:right w:val="single" w:sz="4" w:space="0" w:color="auto"/>
            </w:tcBorders>
            <w:hideMark/>
          </w:tcPr>
          <w:p w:rsidR="00252F43" w:rsidRPr="00870D7F" w:rsidRDefault="00252F43">
            <w:pPr>
              <w:spacing w:line="256" w:lineRule="auto"/>
              <w:jc w:val="right"/>
              <w:rPr>
                <w:b/>
                <w:bCs/>
                <w:iCs/>
                <w:lang w:eastAsia="en-US"/>
              </w:rPr>
            </w:pPr>
            <w:r w:rsidRPr="00870D7F">
              <w:rPr>
                <w:b/>
                <w:bCs/>
                <w:iCs/>
                <w:lang w:eastAsia="en-US"/>
              </w:rPr>
              <w:t>0</w:t>
            </w:r>
          </w:p>
        </w:tc>
      </w:tr>
      <w:tr w:rsidR="00252F43" w:rsidRPr="00870D7F" w:rsidTr="00252F43">
        <w:trPr>
          <w:trHeight w:val="125"/>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rPr>
                <w:b/>
                <w:bCs/>
                <w:i/>
                <w:iCs/>
                <w:lang w:eastAsia="en-US"/>
              </w:rPr>
            </w:pPr>
            <w:r w:rsidRPr="00870D7F">
              <w:rPr>
                <w:b/>
                <w:bCs/>
                <w:i/>
                <w:iCs/>
                <w:lang w:eastAsia="en-US"/>
              </w:rPr>
              <w:t>- vplyv na vyššie územné celky</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309" w:type="dxa"/>
            <w:tcBorders>
              <w:top w:val="single" w:sz="4" w:space="0" w:color="auto"/>
              <w:left w:val="single" w:sz="4" w:space="0" w:color="auto"/>
              <w:bottom w:val="single" w:sz="4" w:space="0" w:color="auto"/>
              <w:right w:val="single" w:sz="4" w:space="0" w:color="auto"/>
            </w:tcBorders>
            <w:hideMark/>
          </w:tcPr>
          <w:p w:rsidR="00252F43" w:rsidRPr="00870D7F" w:rsidRDefault="00252F43">
            <w:pPr>
              <w:spacing w:line="256" w:lineRule="auto"/>
              <w:jc w:val="right"/>
              <w:rPr>
                <w:b/>
                <w:bCs/>
                <w:iCs/>
                <w:lang w:eastAsia="en-US"/>
              </w:rPr>
            </w:pPr>
            <w:r w:rsidRPr="00870D7F">
              <w:rPr>
                <w:b/>
                <w:bCs/>
                <w:iCs/>
                <w:lang w:eastAsia="en-US"/>
              </w:rPr>
              <w:t>0</w:t>
            </w:r>
          </w:p>
        </w:tc>
      </w:tr>
      <w:tr w:rsidR="00252F43" w:rsidRPr="00870D7F" w:rsidTr="00252F4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rPr>
                <w:b/>
                <w:bCs/>
                <w:lang w:eastAsia="en-US"/>
              </w:rPr>
            </w:pPr>
            <w:r w:rsidRPr="00870D7F">
              <w:rPr>
                <w:b/>
                <w:bCs/>
                <w:i/>
                <w:iCs/>
                <w:lang w:eastAsia="en-US"/>
              </w:rPr>
              <w:t>- vplyv na ostatné subjekty verejnej správy</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309" w:type="dxa"/>
            <w:tcBorders>
              <w:top w:val="single" w:sz="4" w:space="0" w:color="auto"/>
              <w:left w:val="single" w:sz="4" w:space="0" w:color="auto"/>
              <w:bottom w:val="single" w:sz="4" w:space="0" w:color="auto"/>
              <w:right w:val="single" w:sz="4" w:space="0" w:color="auto"/>
            </w:tcBorders>
            <w:hideMark/>
          </w:tcPr>
          <w:p w:rsidR="00252F43" w:rsidRPr="00870D7F" w:rsidRDefault="00252F43">
            <w:pPr>
              <w:spacing w:line="256" w:lineRule="auto"/>
              <w:jc w:val="right"/>
              <w:rPr>
                <w:b/>
                <w:bCs/>
                <w:iCs/>
                <w:lang w:eastAsia="en-US"/>
              </w:rPr>
            </w:pPr>
            <w:r w:rsidRPr="00870D7F">
              <w:rPr>
                <w:b/>
                <w:bCs/>
                <w:iCs/>
                <w:lang w:eastAsia="en-US"/>
              </w:rPr>
              <w:t>0</w:t>
            </w:r>
          </w:p>
        </w:tc>
      </w:tr>
      <w:tr w:rsidR="00252F43" w:rsidRPr="00870D7F" w:rsidTr="00252F4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52F43" w:rsidRPr="00870D7F" w:rsidRDefault="00252F43">
            <w:pPr>
              <w:spacing w:line="256" w:lineRule="auto"/>
              <w:rPr>
                <w:b/>
                <w:bCs/>
                <w:lang w:eastAsia="en-US"/>
              </w:rPr>
            </w:pPr>
            <w:r w:rsidRPr="00870D7F">
              <w:rPr>
                <w:b/>
                <w:bCs/>
                <w:lang w:eastAsia="en-US"/>
              </w:rPr>
              <w:t xml:space="preserve">Vplyv na počet zamestnancov </w:t>
            </w:r>
          </w:p>
        </w:tc>
        <w:tc>
          <w:tcPr>
            <w:tcW w:w="1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52F43" w:rsidRPr="00870D7F" w:rsidRDefault="00252F43">
            <w:pPr>
              <w:spacing w:line="256" w:lineRule="auto"/>
              <w:jc w:val="right"/>
              <w:rPr>
                <w:b/>
                <w:bCs/>
                <w:lang w:eastAsia="en-US"/>
              </w:rPr>
            </w:pPr>
            <w:r w:rsidRPr="00870D7F">
              <w:rPr>
                <w:b/>
                <w:bCs/>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52F43" w:rsidRPr="00870D7F" w:rsidRDefault="00252F43">
            <w:pPr>
              <w:spacing w:line="256" w:lineRule="auto"/>
              <w:jc w:val="right"/>
              <w:rPr>
                <w:b/>
                <w:bCs/>
                <w:lang w:eastAsia="en-US"/>
              </w:rPr>
            </w:pPr>
            <w:r w:rsidRPr="00870D7F">
              <w:rPr>
                <w:b/>
                <w:bCs/>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52F43" w:rsidRPr="00870D7F" w:rsidRDefault="00252F43">
            <w:pPr>
              <w:spacing w:line="256" w:lineRule="auto"/>
              <w:jc w:val="right"/>
              <w:rPr>
                <w:b/>
                <w:bCs/>
                <w:lang w:eastAsia="en-US"/>
              </w:rPr>
            </w:pPr>
            <w:r w:rsidRPr="00870D7F">
              <w:rPr>
                <w:b/>
                <w:bCs/>
                <w:lang w:eastAsia="en-US"/>
              </w:rPr>
              <w:t>0</w:t>
            </w:r>
          </w:p>
        </w:tc>
        <w:tc>
          <w:tcPr>
            <w:tcW w:w="13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2F43" w:rsidRPr="00870D7F" w:rsidRDefault="00252F43">
            <w:pPr>
              <w:spacing w:line="256" w:lineRule="auto"/>
              <w:jc w:val="right"/>
              <w:rPr>
                <w:b/>
                <w:bCs/>
                <w:lang w:eastAsia="en-US"/>
              </w:rPr>
            </w:pPr>
            <w:r w:rsidRPr="00870D7F">
              <w:rPr>
                <w:b/>
                <w:bCs/>
                <w:iCs/>
                <w:lang w:eastAsia="en-US"/>
              </w:rPr>
              <w:t>0</w:t>
            </w:r>
          </w:p>
        </w:tc>
      </w:tr>
      <w:tr w:rsidR="00252F43" w:rsidRPr="00870D7F" w:rsidTr="00252F4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rPr>
                <w:b/>
                <w:bCs/>
                <w:i/>
                <w:iCs/>
                <w:lang w:eastAsia="en-US"/>
              </w:rPr>
            </w:pPr>
            <w:r w:rsidRPr="00870D7F">
              <w:rPr>
                <w:b/>
                <w:bCs/>
                <w:i/>
                <w:iCs/>
                <w:lang w:eastAsia="en-US"/>
              </w:rPr>
              <w:t>- vplyv na ŠR</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309" w:type="dxa"/>
            <w:tcBorders>
              <w:top w:val="single" w:sz="4" w:space="0" w:color="auto"/>
              <w:left w:val="single" w:sz="4" w:space="0" w:color="auto"/>
              <w:bottom w:val="single" w:sz="4" w:space="0" w:color="auto"/>
              <w:right w:val="single" w:sz="4" w:space="0" w:color="auto"/>
            </w:tcBorders>
            <w:hideMark/>
          </w:tcPr>
          <w:p w:rsidR="00252F43" w:rsidRPr="00870D7F" w:rsidRDefault="00252F43">
            <w:pPr>
              <w:spacing w:line="256" w:lineRule="auto"/>
              <w:jc w:val="right"/>
              <w:rPr>
                <w:b/>
                <w:bCs/>
                <w:iCs/>
                <w:lang w:eastAsia="en-US"/>
              </w:rPr>
            </w:pPr>
            <w:r w:rsidRPr="00870D7F">
              <w:rPr>
                <w:b/>
                <w:bCs/>
                <w:iCs/>
                <w:lang w:eastAsia="en-US"/>
              </w:rPr>
              <w:t>0</w:t>
            </w:r>
          </w:p>
        </w:tc>
      </w:tr>
      <w:tr w:rsidR="00252F43" w:rsidRPr="00870D7F" w:rsidTr="00252F4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rPr>
                <w:b/>
                <w:bCs/>
                <w:i/>
                <w:iCs/>
                <w:lang w:eastAsia="en-US"/>
              </w:rPr>
            </w:pPr>
            <w:r w:rsidRPr="00870D7F">
              <w:rPr>
                <w:b/>
                <w:bCs/>
                <w:i/>
                <w:iCs/>
                <w:lang w:eastAsia="en-US"/>
              </w:rPr>
              <w:t>- vplyv na obce</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309" w:type="dxa"/>
            <w:tcBorders>
              <w:top w:val="single" w:sz="4" w:space="0" w:color="auto"/>
              <w:left w:val="single" w:sz="4" w:space="0" w:color="auto"/>
              <w:bottom w:val="single" w:sz="4" w:space="0" w:color="auto"/>
              <w:right w:val="single" w:sz="4" w:space="0" w:color="auto"/>
            </w:tcBorders>
            <w:hideMark/>
          </w:tcPr>
          <w:p w:rsidR="00252F43" w:rsidRPr="00870D7F" w:rsidRDefault="00252F43">
            <w:pPr>
              <w:spacing w:line="256" w:lineRule="auto"/>
              <w:jc w:val="right"/>
              <w:rPr>
                <w:b/>
                <w:bCs/>
                <w:iCs/>
                <w:lang w:eastAsia="en-US"/>
              </w:rPr>
            </w:pPr>
            <w:r w:rsidRPr="00870D7F">
              <w:rPr>
                <w:b/>
                <w:bCs/>
                <w:iCs/>
                <w:lang w:eastAsia="en-US"/>
              </w:rPr>
              <w:t>0</w:t>
            </w:r>
          </w:p>
        </w:tc>
      </w:tr>
      <w:tr w:rsidR="00252F43" w:rsidRPr="00870D7F" w:rsidTr="00252F4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rPr>
                <w:b/>
                <w:bCs/>
                <w:i/>
                <w:iCs/>
                <w:lang w:eastAsia="en-US"/>
              </w:rPr>
            </w:pPr>
            <w:r w:rsidRPr="00870D7F">
              <w:rPr>
                <w:b/>
                <w:bCs/>
                <w:i/>
                <w:iCs/>
                <w:lang w:eastAsia="en-US"/>
              </w:rPr>
              <w:t>- vplyv na vyššie územné celky</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309" w:type="dxa"/>
            <w:tcBorders>
              <w:top w:val="single" w:sz="4" w:space="0" w:color="auto"/>
              <w:left w:val="single" w:sz="4" w:space="0" w:color="auto"/>
              <w:bottom w:val="single" w:sz="4" w:space="0" w:color="auto"/>
              <w:right w:val="single" w:sz="4" w:space="0" w:color="auto"/>
            </w:tcBorders>
            <w:hideMark/>
          </w:tcPr>
          <w:p w:rsidR="00252F43" w:rsidRPr="00870D7F" w:rsidRDefault="00252F43">
            <w:pPr>
              <w:spacing w:line="256" w:lineRule="auto"/>
              <w:jc w:val="right"/>
              <w:rPr>
                <w:b/>
                <w:bCs/>
                <w:iCs/>
                <w:lang w:eastAsia="en-US"/>
              </w:rPr>
            </w:pPr>
            <w:r w:rsidRPr="00870D7F">
              <w:rPr>
                <w:b/>
                <w:bCs/>
                <w:iCs/>
                <w:lang w:eastAsia="en-US"/>
              </w:rPr>
              <w:t>0</w:t>
            </w:r>
          </w:p>
        </w:tc>
      </w:tr>
      <w:tr w:rsidR="00252F43" w:rsidRPr="00870D7F" w:rsidTr="00252F4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rPr>
                <w:b/>
                <w:bCs/>
                <w:i/>
                <w:iCs/>
                <w:lang w:eastAsia="en-US"/>
              </w:rPr>
            </w:pPr>
            <w:r w:rsidRPr="00870D7F">
              <w:rPr>
                <w:b/>
                <w:bCs/>
                <w:i/>
                <w:iCs/>
                <w:lang w:eastAsia="en-US"/>
              </w:rPr>
              <w:t>- vplyv na ostatné subjekty verejnej správy</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309" w:type="dxa"/>
            <w:tcBorders>
              <w:top w:val="single" w:sz="4" w:space="0" w:color="auto"/>
              <w:left w:val="single" w:sz="4" w:space="0" w:color="auto"/>
              <w:bottom w:val="single" w:sz="4" w:space="0" w:color="auto"/>
              <w:right w:val="single" w:sz="4" w:space="0" w:color="auto"/>
            </w:tcBorders>
            <w:hideMark/>
          </w:tcPr>
          <w:p w:rsidR="00252F43" w:rsidRPr="00870D7F" w:rsidRDefault="00252F43">
            <w:pPr>
              <w:spacing w:line="256" w:lineRule="auto"/>
              <w:jc w:val="right"/>
              <w:rPr>
                <w:b/>
                <w:bCs/>
                <w:iCs/>
                <w:lang w:eastAsia="en-US"/>
              </w:rPr>
            </w:pPr>
            <w:r w:rsidRPr="00870D7F">
              <w:rPr>
                <w:b/>
                <w:bCs/>
                <w:iCs/>
                <w:lang w:eastAsia="en-US"/>
              </w:rPr>
              <w:t>0</w:t>
            </w:r>
          </w:p>
        </w:tc>
      </w:tr>
      <w:tr w:rsidR="00252F43" w:rsidRPr="00870D7F" w:rsidTr="00252F4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52F43" w:rsidRPr="00870D7F" w:rsidRDefault="00252F43">
            <w:pPr>
              <w:spacing w:line="256" w:lineRule="auto"/>
              <w:rPr>
                <w:b/>
                <w:lang w:eastAsia="en-US"/>
              </w:rPr>
            </w:pPr>
            <w:r w:rsidRPr="00870D7F">
              <w:rPr>
                <w:b/>
                <w:lang w:eastAsia="en-US"/>
              </w:rPr>
              <w:t>Vplyv na mzdové výdavky</w:t>
            </w:r>
          </w:p>
        </w:tc>
        <w:tc>
          <w:tcPr>
            <w:tcW w:w="1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52F43" w:rsidRPr="00870D7F" w:rsidRDefault="00252F43">
            <w:pPr>
              <w:spacing w:line="256" w:lineRule="auto"/>
              <w:jc w:val="right"/>
              <w:rPr>
                <w:b/>
                <w:lang w:eastAsia="en-US"/>
              </w:rPr>
            </w:pPr>
            <w:r w:rsidRPr="00870D7F">
              <w:rPr>
                <w:b/>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52F43" w:rsidRPr="00870D7F" w:rsidRDefault="00252F43">
            <w:pPr>
              <w:spacing w:line="256" w:lineRule="auto"/>
              <w:jc w:val="right"/>
              <w:rPr>
                <w:b/>
                <w:lang w:eastAsia="en-US"/>
              </w:rPr>
            </w:pPr>
            <w:r w:rsidRPr="00870D7F">
              <w:rPr>
                <w:b/>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52F43" w:rsidRPr="00870D7F" w:rsidRDefault="00252F43">
            <w:pPr>
              <w:spacing w:line="256" w:lineRule="auto"/>
              <w:jc w:val="right"/>
              <w:rPr>
                <w:b/>
                <w:lang w:eastAsia="en-US"/>
              </w:rPr>
            </w:pPr>
            <w:r w:rsidRPr="00870D7F">
              <w:rPr>
                <w:b/>
                <w:lang w:eastAsia="en-US"/>
              </w:rPr>
              <w:t>0</w:t>
            </w:r>
          </w:p>
        </w:tc>
        <w:tc>
          <w:tcPr>
            <w:tcW w:w="13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2F43" w:rsidRPr="00870D7F" w:rsidRDefault="00252F43">
            <w:pPr>
              <w:spacing w:line="256" w:lineRule="auto"/>
              <w:jc w:val="right"/>
              <w:rPr>
                <w:b/>
                <w:lang w:eastAsia="en-US"/>
              </w:rPr>
            </w:pPr>
            <w:r w:rsidRPr="00870D7F">
              <w:rPr>
                <w:b/>
                <w:bCs/>
                <w:iCs/>
                <w:lang w:eastAsia="en-US"/>
              </w:rPr>
              <w:t>0</w:t>
            </w:r>
          </w:p>
        </w:tc>
      </w:tr>
      <w:tr w:rsidR="00252F43" w:rsidRPr="00870D7F" w:rsidTr="00252F4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rPr>
                <w:b/>
                <w:bCs/>
                <w:i/>
                <w:iCs/>
                <w:lang w:eastAsia="en-US"/>
              </w:rPr>
            </w:pPr>
            <w:r w:rsidRPr="00870D7F">
              <w:rPr>
                <w:b/>
                <w:bCs/>
                <w:i/>
                <w:iCs/>
                <w:lang w:eastAsia="en-US"/>
              </w:rPr>
              <w:t>- vplyv na ŠR</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309" w:type="dxa"/>
            <w:tcBorders>
              <w:top w:val="single" w:sz="4" w:space="0" w:color="auto"/>
              <w:left w:val="single" w:sz="4" w:space="0" w:color="auto"/>
              <w:bottom w:val="single" w:sz="4" w:space="0" w:color="auto"/>
              <w:right w:val="single" w:sz="4" w:space="0" w:color="auto"/>
            </w:tcBorders>
            <w:hideMark/>
          </w:tcPr>
          <w:p w:rsidR="00252F43" w:rsidRPr="00870D7F" w:rsidRDefault="00252F43">
            <w:pPr>
              <w:spacing w:line="256" w:lineRule="auto"/>
              <w:jc w:val="right"/>
              <w:rPr>
                <w:b/>
                <w:bCs/>
                <w:iCs/>
                <w:lang w:eastAsia="en-US"/>
              </w:rPr>
            </w:pPr>
            <w:r w:rsidRPr="00870D7F">
              <w:rPr>
                <w:b/>
                <w:bCs/>
                <w:iCs/>
                <w:lang w:eastAsia="en-US"/>
              </w:rPr>
              <w:t>0</w:t>
            </w:r>
          </w:p>
        </w:tc>
      </w:tr>
      <w:tr w:rsidR="00252F43" w:rsidRPr="00870D7F" w:rsidTr="00252F4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rPr>
                <w:b/>
                <w:bCs/>
                <w:i/>
                <w:iCs/>
                <w:lang w:eastAsia="en-US"/>
              </w:rPr>
            </w:pPr>
            <w:r w:rsidRPr="00870D7F">
              <w:rPr>
                <w:b/>
                <w:bCs/>
                <w:i/>
                <w:iCs/>
                <w:lang w:eastAsia="en-US"/>
              </w:rPr>
              <w:t>- vplyv na obce</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309" w:type="dxa"/>
            <w:tcBorders>
              <w:top w:val="single" w:sz="4" w:space="0" w:color="auto"/>
              <w:left w:val="single" w:sz="4" w:space="0" w:color="auto"/>
              <w:bottom w:val="single" w:sz="4" w:space="0" w:color="auto"/>
              <w:right w:val="single" w:sz="4" w:space="0" w:color="auto"/>
            </w:tcBorders>
            <w:hideMark/>
          </w:tcPr>
          <w:p w:rsidR="00252F43" w:rsidRPr="00870D7F" w:rsidRDefault="00252F43">
            <w:pPr>
              <w:spacing w:line="256" w:lineRule="auto"/>
              <w:jc w:val="right"/>
              <w:rPr>
                <w:b/>
                <w:bCs/>
                <w:iCs/>
                <w:lang w:eastAsia="en-US"/>
              </w:rPr>
            </w:pPr>
            <w:r w:rsidRPr="00870D7F">
              <w:rPr>
                <w:b/>
                <w:bCs/>
                <w:iCs/>
                <w:lang w:eastAsia="en-US"/>
              </w:rPr>
              <w:t>0</w:t>
            </w:r>
          </w:p>
        </w:tc>
      </w:tr>
      <w:tr w:rsidR="00252F43" w:rsidRPr="00870D7F" w:rsidTr="00252F4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rPr>
                <w:b/>
                <w:bCs/>
                <w:i/>
                <w:iCs/>
                <w:lang w:eastAsia="en-US"/>
              </w:rPr>
            </w:pPr>
            <w:r w:rsidRPr="00870D7F">
              <w:rPr>
                <w:b/>
                <w:bCs/>
                <w:i/>
                <w:iCs/>
                <w:lang w:eastAsia="en-US"/>
              </w:rPr>
              <w:t>- vplyv na vyššie územné celky</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309" w:type="dxa"/>
            <w:tcBorders>
              <w:top w:val="single" w:sz="4" w:space="0" w:color="auto"/>
              <w:left w:val="single" w:sz="4" w:space="0" w:color="auto"/>
              <w:bottom w:val="single" w:sz="4" w:space="0" w:color="auto"/>
              <w:right w:val="single" w:sz="4" w:space="0" w:color="auto"/>
            </w:tcBorders>
            <w:hideMark/>
          </w:tcPr>
          <w:p w:rsidR="00252F43" w:rsidRPr="00870D7F" w:rsidRDefault="00252F43">
            <w:pPr>
              <w:spacing w:line="256" w:lineRule="auto"/>
              <w:jc w:val="right"/>
              <w:rPr>
                <w:b/>
                <w:bCs/>
                <w:iCs/>
                <w:lang w:eastAsia="en-US"/>
              </w:rPr>
            </w:pPr>
            <w:r w:rsidRPr="00870D7F">
              <w:rPr>
                <w:b/>
                <w:bCs/>
                <w:iCs/>
                <w:lang w:eastAsia="en-US"/>
              </w:rPr>
              <w:t>0</w:t>
            </w:r>
          </w:p>
        </w:tc>
      </w:tr>
      <w:tr w:rsidR="00252F43" w:rsidRPr="00870D7F" w:rsidTr="00252F4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rPr>
                <w:b/>
                <w:bCs/>
                <w:lang w:eastAsia="en-US"/>
              </w:rPr>
            </w:pPr>
            <w:r w:rsidRPr="00870D7F">
              <w:rPr>
                <w:b/>
                <w:bCs/>
                <w:i/>
                <w:iCs/>
                <w:lang w:eastAsia="en-US"/>
              </w:rPr>
              <w:t>- vplyv na ostatné subjekty verejnej správy</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b/>
                <w:bCs/>
                <w:iCs/>
                <w:lang w:eastAsia="en-US"/>
              </w:rPr>
            </w:pPr>
            <w:r w:rsidRPr="00870D7F">
              <w:rPr>
                <w:b/>
                <w:bCs/>
                <w:iCs/>
                <w:lang w:eastAsia="en-US"/>
              </w:rPr>
              <w:t>0</w:t>
            </w:r>
          </w:p>
        </w:tc>
        <w:tc>
          <w:tcPr>
            <w:tcW w:w="1309" w:type="dxa"/>
            <w:tcBorders>
              <w:top w:val="single" w:sz="4" w:space="0" w:color="auto"/>
              <w:left w:val="single" w:sz="4" w:space="0" w:color="auto"/>
              <w:bottom w:val="single" w:sz="4" w:space="0" w:color="auto"/>
              <w:right w:val="single" w:sz="4" w:space="0" w:color="auto"/>
            </w:tcBorders>
            <w:hideMark/>
          </w:tcPr>
          <w:p w:rsidR="00252F43" w:rsidRPr="00870D7F" w:rsidRDefault="00252F43">
            <w:pPr>
              <w:spacing w:line="256" w:lineRule="auto"/>
              <w:jc w:val="right"/>
              <w:rPr>
                <w:b/>
                <w:bCs/>
                <w:iCs/>
                <w:lang w:eastAsia="en-US"/>
              </w:rPr>
            </w:pPr>
            <w:r w:rsidRPr="00870D7F">
              <w:rPr>
                <w:b/>
                <w:bCs/>
                <w:iCs/>
                <w:lang w:eastAsia="en-US"/>
              </w:rPr>
              <w:t>0</w:t>
            </w:r>
          </w:p>
        </w:tc>
      </w:tr>
      <w:tr w:rsidR="00252F43" w:rsidRPr="00870D7F" w:rsidTr="00252F4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52F43" w:rsidRPr="00870D7F" w:rsidRDefault="00252F43">
            <w:pPr>
              <w:spacing w:line="256" w:lineRule="auto"/>
              <w:rPr>
                <w:b/>
                <w:bCs/>
                <w:lang w:eastAsia="en-US"/>
              </w:rPr>
            </w:pPr>
            <w:r w:rsidRPr="00870D7F">
              <w:rPr>
                <w:b/>
                <w:bCs/>
                <w:lang w:eastAsia="en-US"/>
              </w:rPr>
              <w:t>Financovanie zabezpečené v rozpočte</w:t>
            </w:r>
          </w:p>
        </w:tc>
        <w:tc>
          <w:tcPr>
            <w:tcW w:w="1186"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52F43" w:rsidRPr="00870D7F" w:rsidRDefault="002E46D9">
            <w:pPr>
              <w:spacing w:line="256" w:lineRule="auto"/>
              <w:jc w:val="right"/>
              <w:rPr>
                <w:b/>
                <w:bCs/>
                <w:lang w:eastAsia="en-US"/>
              </w:rPr>
            </w:pPr>
            <w:r>
              <w:rPr>
                <w:b/>
                <w:bCs/>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52F43" w:rsidRPr="00870D7F" w:rsidRDefault="002E46D9">
            <w:pPr>
              <w:spacing w:line="256" w:lineRule="auto"/>
              <w:jc w:val="right"/>
              <w:rPr>
                <w:b/>
                <w:bCs/>
                <w:lang w:eastAsia="en-US"/>
              </w:rPr>
            </w:pPr>
            <w:r>
              <w:rPr>
                <w:b/>
                <w:bCs/>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52F43" w:rsidRPr="00870D7F" w:rsidRDefault="002E46D9">
            <w:pPr>
              <w:spacing w:line="256" w:lineRule="auto"/>
              <w:jc w:val="right"/>
              <w:rPr>
                <w:b/>
                <w:bCs/>
                <w:lang w:eastAsia="en-US"/>
              </w:rPr>
            </w:pPr>
            <w:r>
              <w:rPr>
                <w:b/>
                <w:bCs/>
                <w:lang w:eastAsia="en-US"/>
              </w:rPr>
              <w:t>0</w:t>
            </w:r>
          </w:p>
        </w:tc>
        <w:tc>
          <w:tcPr>
            <w:tcW w:w="1309" w:type="dxa"/>
            <w:tcBorders>
              <w:top w:val="single" w:sz="4" w:space="0" w:color="auto"/>
              <w:left w:val="single" w:sz="4" w:space="0" w:color="auto"/>
              <w:bottom w:val="single" w:sz="4" w:space="0" w:color="auto"/>
              <w:right w:val="single" w:sz="4" w:space="0" w:color="auto"/>
            </w:tcBorders>
            <w:shd w:val="clear" w:color="auto" w:fill="C0C0C0"/>
            <w:hideMark/>
          </w:tcPr>
          <w:p w:rsidR="00252F43" w:rsidRPr="00870D7F" w:rsidRDefault="002E46D9">
            <w:pPr>
              <w:spacing w:line="256" w:lineRule="auto"/>
              <w:jc w:val="right"/>
              <w:rPr>
                <w:b/>
                <w:bCs/>
                <w:lang w:eastAsia="en-US"/>
              </w:rPr>
            </w:pPr>
            <w:r>
              <w:rPr>
                <w:b/>
                <w:bCs/>
                <w:lang w:eastAsia="en-US"/>
              </w:rPr>
              <w:t>0</w:t>
            </w:r>
          </w:p>
        </w:tc>
      </w:tr>
      <w:tr w:rsidR="00252F43" w:rsidRPr="00870D7F" w:rsidTr="00252F43">
        <w:trPr>
          <w:trHeight w:val="70"/>
          <w:jc w:val="center"/>
        </w:trPr>
        <w:tc>
          <w:tcPr>
            <w:tcW w:w="4661"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rPr>
                <w:lang w:eastAsia="en-US"/>
              </w:rPr>
            </w:pPr>
            <w:r w:rsidRPr="00870D7F">
              <w:rPr>
                <w:lang w:eastAsia="en-US"/>
              </w:rPr>
              <w:t>v tom: za každý subjekt verejnej správy / program zvlášť</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lang w:eastAsia="en-US"/>
              </w:rPr>
            </w:pPr>
            <w:r w:rsidRPr="00870D7F">
              <w:rPr>
                <w:lang w:eastAsia="en-US"/>
              </w:rPr>
              <w:t>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lang w:eastAsia="en-US"/>
              </w:rPr>
            </w:pPr>
            <w:r w:rsidRPr="00870D7F">
              <w:rPr>
                <w:lang w:eastAsia="en-US"/>
              </w:rPr>
              <w:t>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52F43" w:rsidRPr="00870D7F" w:rsidRDefault="00252F43">
            <w:pPr>
              <w:spacing w:line="256" w:lineRule="auto"/>
              <w:jc w:val="right"/>
              <w:rPr>
                <w:lang w:eastAsia="en-US"/>
              </w:rPr>
            </w:pPr>
            <w:r w:rsidRPr="00870D7F">
              <w:rPr>
                <w:lang w:eastAsia="en-US"/>
              </w:rPr>
              <w:t>0</w:t>
            </w:r>
          </w:p>
        </w:tc>
        <w:tc>
          <w:tcPr>
            <w:tcW w:w="1309" w:type="dxa"/>
            <w:tcBorders>
              <w:top w:val="single" w:sz="4" w:space="0" w:color="auto"/>
              <w:left w:val="single" w:sz="4" w:space="0" w:color="auto"/>
              <w:bottom w:val="single" w:sz="4" w:space="0" w:color="auto"/>
              <w:right w:val="single" w:sz="4" w:space="0" w:color="auto"/>
            </w:tcBorders>
            <w:vAlign w:val="center"/>
            <w:hideMark/>
          </w:tcPr>
          <w:p w:rsidR="00252F43" w:rsidRPr="00870D7F" w:rsidRDefault="00252F43">
            <w:pPr>
              <w:spacing w:line="256" w:lineRule="auto"/>
              <w:jc w:val="right"/>
              <w:rPr>
                <w:lang w:eastAsia="en-US"/>
              </w:rPr>
            </w:pPr>
            <w:r w:rsidRPr="00870D7F">
              <w:rPr>
                <w:lang w:eastAsia="en-US"/>
              </w:rPr>
              <w:t>0</w:t>
            </w:r>
          </w:p>
        </w:tc>
      </w:tr>
      <w:tr w:rsidR="00252F43" w:rsidRPr="00870D7F" w:rsidTr="00252F4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52F43" w:rsidRPr="00870D7F" w:rsidRDefault="00252F43">
            <w:pPr>
              <w:spacing w:line="256" w:lineRule="auto"/>
              <w:rPr>
                <w:b/>
                <w:lang w:eastAsia="en-US"/>
              </w:rPr>
            </w:pPr>
            <w:r w:rsidRPr="00870D7F">
              <w:rPr>
                <w:b/>
                <w:lang w:eastAsia="en-US"/>
              </w:rPr>
              <w:t>Iné ako rozpočtové zdroje</w:t>
            </w:r>
          </w:p>
        </w:tc>
        <w:tc>
          <w:tcPr>
            <w:tcW w:w="1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52F43" w:rsidRPr="00870D7F" w:rsidRDefault="00252F43">
            <w:pPr>
              <w:spacing w:line="256" w:lineRule="auto"/>
              <w:jc w:val="right"/>
              <w:rPr>
                <w:b/>
                <w:bCs/>
                <w:lang w:eastAsia="en-US"/>
              </w:rPr>
            </w:pPr>
            <w:r w:rsidRPr="00870D7F">
              <w:rPr>
                <w:b/>
                <w:bCs/>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52F43" w:rsidRPr="00870D7F" w:rsidRDefault="00252F43">
            <w:pPr>
              <w:spacing w:line="256" w:lineRule="auto"/>
              <w:jc w:val="right"/>
              <w:rPr>
                <w:b/>
                <w:bCs/>
                <w:lang w:eastAsia="en-US"/>
              </w:rPr>
            </w:pPr>
            <w:r w:rsidRPr="00870D7F">
              <w:rPr>
                <w:b/>
                <w:bCs/>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52F43" w:rsidRPr="00870D7F" w:rsidRDefault="00252F43">
            <w:pPr>
              <w:spacing w:line="256" w:lineRule="auto"/>
              <w:jc w:val="right"/>
              <w:rPr>
                <w:b/>
                <w:bCs/>
                <w:lang w:eastAsia="en-US"/>
              </w:rPr>
            </w:pPr>
            <w:r w:rsidRPr="00870D7F">
              <w:rPr>
                <w:b/>
                <w:bCs/>
                <w:lang w:eastAsia="en-US"/>
              </w:rPr>
              <w:t>0</w:t>
            </w:r>
          </w:p>
        </w:tc>
        <w:tc>
          <w:tcPr>
            <w:tcW w:w="13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2F43" w:rsidRPr="00870D7F" w:rsidRDefault="00252F43">
            <w:pPr>
              <w:spacing w:line="256" w:lineRule="auto"/>
              <w:jc w:val="right"/>
              <w:rPr>
                <w:b/>
                <w:bCs/>
                <w:lang w:eastAsia="en-US"/>
              </w:rPr>
            </w:pPr>
            <w:r w:rsidRPr="00870D7F">
              <w:rPr>
                <w:b/>
                <w:bCs/>
                <w:lang w:eastAsia="en-US"/>
              </w:rPr>
              <w:t>0</w:t>
            </w:r>
          </w:p>
        </w:tc>
      </w:tr>
      <w:tr w:rsidR="00252F43" w:rsidRPr="00870D7F" w:rsidTr="00252F43">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252F43" w:rsidRPr="00870D7F" w:rsidRDefault="00252F43">
            <w:pPr>
              <w:spacing w:line="256" w:lineRule="auto"/>
              <w:rPr>
                <w:b/>
                <w:bCs/>
                <w:lang w:eastAsia="en-US"/>
              </w:rPr>
            </w:pPr>
            <w:r w:rsidRPr="00870D7F">
              <w:rPr>
                <w:b/>
                <w:bCs/>
                <w:lang w:eastAsia="en-US"/>
              </w:rPr>
              <w:t>Rozpočtovo nekrytý vplyv / úspora</w:t>
            </w:r>
          </w:p>
        </w:tc>
        <w:tc>
          <w:tcPr>
            <w:tcW w:w="118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252F43" w:rsidRPr="00870D7F" w:rsidRDefault="00252F43">
            <w:pPr>
              <w:spacing w:line="256" w:lineRule="auto"/>
              <w:jc w:val="right"/>
              <w:rPr>
                <w:b/>
                <w:bCs/>
                <w:lang w:eastAsia="en-US"/>
              </w:rPr>
            </w:pPr>
            <w:r w:rsidRPr="00870D7F">
              <w:rPr>
                <w:b/>
                <w:bCs/>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252F43" w:rsidRPr="00870D7F" w:rsidRDefault="00252F43">
            <w:pPr>
              <w:spacing w:line="256" w:lineRule="auto"/>
              <w:jc w:val="right"/>
              <w:rPr>
                <w:b/>
                <w:bCs/>
                <w:lang w:eastAsia="en-US"/>
              </w:rPr>
            </w:pPr>
            <w:r w:rsidRPr="00870D7F">
              <w:rPr>
                <w:b/>
                <w:bCs/>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252F43" w:rsidRPr="00870D7F" w:rsidRDefault="00252F43">
            <w:pPr>
              <w:spacing w:line="256" w:lineRule="auto"/>
              <w:jc w:val="right"/>
              <w:rPr>
                <w:b/>
                <w:bCs/>
                <w:lang w:eastAsia="en-US"/>
              </w:rPr>
            </w:pPr>
            <w:r w:rsidRPr="00870D7F">
              <w:rPr>
                <w:b/>
                <w:bCs/>
                <w:lang w:eastAsia="en-US"/>
              </w:rPr>
              <w:t>0</w:t>
            </w:r>
          </w:p>
        </w:tc>
        <w:tc>
          <w:tcPr>
            <w:tcW w:w="1309"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252F43" w:rsidRPr="00870D7F" w:rsidRDefault="00252F43">
            <w:pPr>
              <w:spacing w:line="256" w:lineRule="auto"/>
              <w:jc w:val="right"/>
              <w:rPr>
                <w:b/>
                <w:bCs/>
                <w:lang w:eastAsia="en-US"/>
              </w:rPr>
            </w:pPr>
            <w:r w:rsidRPr="00870D7F">
              <w:rPr>
                <w:b/>
                <w:bCs/>
                <w:lang w:eastAsia="en-US"/>
              </w:rPr>
              <w:t>0</w:t>
            </w:r>
          </w:p>
        </w:tc>
      </w:tr>
    </w:tbl>
    <w:bookmarkEnd w:id="1"/>
    <w:p w:rsidR="00252F43" w:rsidRPr="00870D7F" w:rsidRDefault="00252F43" w:rsidP="00252F43">
      <w:pPr>
        <w:spacing w:before="120" w:after="60"/>
        <w:jc w:val="both"/>
      </w:pPr>
      <w:r w:rsidRPr="00870D7F">
        <w:rPr>
          <w:b/>
        </w:rPr>
        <w:t xml:space="preserve">* </w:t>
      </w:r>
      <w:r w:rsidRPr="00870D7F">
        <w:t>Uvažované finančné prostriedky z Operačného programu Ľudské zdroje neboli zatiaľ určené</w:t>
      </w:r>
    </w:p>
    <w:p w:rsidR="00252F43" w:rsidRPr="00870D7F" w:rsidRDefault="00252F43" w:rsidP="00252F43">
      <w:pPr>
        <w:spacing w:before="120" w:after="60"/>
        <w:jc w:val="both"/>
        <w:rPr>
          <w:b/>
        </w:rPr>
      </w:pPr>
      <w:r w:rsidRPr="00870D7F">
        <w:rPr>
          <w:b/>
        </w:rPr>
        <w:t xml:space="preserve">** </w:t>
      </w:r>
      <w:r w:rsidRPr="00870D7F">
        <w:t>Prostriedky štátneho rozpočtu určené na spolufinancovanie štrukturálnych fondov sú zahrnuté v programoch príslušných kapitol</w:t>
      </w:r>
    </w:p>
    <w:p w:rsidR="00252F43" w:rsidRPr="00870D7F" w:rsidRDefault="00252F43" w:rsidP="00252F43">
      <w:pPr>
        <w:spacing w:before="120" w:after="60"/>
      </w:pPr>
      <w:r w:rsidRPr="00870D7F">
        <w:rPr>
          <w:b/>
        </w:rPr>
        <w:t xml:space="preserve">*** </w:t>
      </w:r>
      <w:r w:rsidRPr="00870D7F">
        <w:t xml:space="preserve">Medzirezortný/nadrezortný  program na ochranu kybernetického priestoru SR je uvažovaný zdroj </w:t>
      </w:r>
      <w:r w:rsidR="004E5550" w:rsidRPr="00870D7F">
        <w:t>až po jeho schválení</w:t>
      </w:r>
      <w:r w:rsidRPr="00870D7F">
        <w:t xml:space="preserve">  (príprava a jeho predloženie plánované v</w:t>
      </w:r>
      <w:r w:rsidR="004E5550" w:rsidRPr="00870D7F">
        <w:t> druhom polroku</w:t>
      </w:r>
      <w:r w:rsidRPr="00870D7F">
        <w:t xml:space="preserve"> 2017).</w:t>
      </w:r>
    </w:p>
    <w:p w:rsidR="00252F43" w:rsidRPr="00870D7F" w:rsidRDefault="00252F43" w:rsidP="00252F43">
      <w:pPr>
        <w:spacing w:before="120" w:after="60"/>
      </w:pPr>
    </w:p>
    <w:p w:rsidR="00252F43" w:rsidRDefault="00252F43" w:rsidP="00252F43">
      <w:pPr>
        <w:jc w:val="both"/>
        <w:rPr>
          <w:b/>
          <w:bCs/>
          <w:sz w:val="24"/>
          <w:szCs w:val="24"/>
        </w:rPr>
      </w:pPr>
      <w:r w:rsidRPr="00870D7F">
        <w:rPr>
          <w:b/>
          <w:bCs/>
          <w:sz w:val="24"/>
          <w:szCs w:val="24"/>
        </w:rPr>
        <w:lastRenderedPageBreak/>
        <w:t>2.1.1. Financovanie návrhu - Návrh na riešenie úbytku príjmov alebo zvýšených výdavkov podľa § 33 ods. 1 zákona č. 523/2004 Z. z. o rozpočtových pravidlách verejnej správy:</w:t>
      </w:r>
    </w:p>
    <w:p w:rsidR="006448AC" w:rsidRPr="00870D7F" w:rsidRDefault="006448AC" w:rsidP="00252F43">
      <w:pPr>
        <w:jc w:val="both"/>
        <w:rPr>
          <w:b/>
          <w:bCs/>
          <w:sz w:val="24"/>
          <w:szCs w:val="24"/>
        </w:rPr>
      </w:pPr>
    </w:p>
    <w:p w:rsidR="00963AB3" w:rsidRDefault="00C265CE" w:rsidP="006448AC">
      <w:pPr>
        <w:pBdr>
          <w:top w:val="single" w:sz="4" w:space="1" w:color="auto"/>
          <w:left w:val="single" w:sz="4" w:space="4" w:color="auto"/>
          <w:bottom w:val="single" w:sz="4" w:space="0" w:color="auto"/>
          <w:right w:val="single" w:sz="4" w:space="4" w:color="auto"/>
        </w:pBdr>
        <w:jc w:val="both"/>
      </w:pPr>
      <w:r>
        <w:t xml:space="preserve">    </w:t>
      </w:r>
    </w:p>
    <w:p w:rsidR="00706221" w:rsidRDefault="000F1EB5" w:rsidP="006448AC">
      <w:pPr>
        <w:pBdr>
          <w:top w:val="single" w:sz="4" w:space="1" w:color="auto"/>
          <w:left w:val="single" w:sz="4" w:space="4" w:color="auto"/>
          <w:bottom w:val="single" w:sz="4" w:space="0" w:color="auto"/>
          <w:right w:val="single" w:sz="4" w:space="4" w:color="auto"/>
        </w:pBdr>
        <w:jc w:val="both"/>
        <w:rPr>
          <w:rFonts w:ascii="Times" w:hAnsi="Times" w:cs="Times"/>
          <w:b/>
        </w:rPr>
      </w:pPr>
      <w:r>
        <w:rPr>
          <w:b/>
        </w:rPr>
        <w:t xml:space="preserve">     </w:t>
      </w:r>
      <w:r w:rsidR="00706221" w:rsidRPr="000F1EB5">
        <w:rPr>
          <w:b/>
        </w:rPr>
        <w:t xml:space="preserve">Prijatie navrhovaného zákona </w:t>
      </w:r>
      <w:r w:rsidR="00706221" w:rsidRPr="000F1EB5">
        <w:rPr>
          <w:rFonts w:ascii="Times" w:hAnsi="Times" w:cs="Times"/>
          <w:b/>
        </w:rPr>
        <w:t xml:space="preserve">zakladá pozitívny vplyv </w:t>
      </w:r>
      <w:r w:rsidR="00C265CE" w:rsidRPr="000F1EB5">
        <w:rPr>
          <w:rFonts w:ascii="Times" w:hAnsi="Times" w:cs="Times"/>
          <w:b/>
        </w:rPr>
        <w:t>aj negatívny vplyv na rozpočet verejnej správy.</w:t>
      </w:r>
    </w:p>
    <w:p w:rsidR="006448AC" w:rsidRPr="000F1EB5" w:rsidRDefault="006448AC" w:rsidP="006448AC">
      <w:pPr>
        <w:pBdr>
          <w:top w:val="single" w:sz="4" w:space="1" w:color="auto"/>
          <w:left w:val="single" w:sz="4" w:space="4" w:color="auto"/>
          <w:bottom w:val="single" w:sz="4" w:space="0" w:color="auto"/>
          <w:right w:val="single" w:sz="4" w:space="4" w:color="auto"/>
        </w:pBdr>
        <w:jc w:val="both"/>
        <w:rPr>
          <w:b/>
          <w:bCs/>
          <w:sz w:val="12"/>
          <w:szCs w:val="24"/>
        </w:rPr>
      </w:pPr>
    </w:p>
    <w:p w:rsidR="00706221" w:rsidRDefault="00C265CE" w:rsidP="006448AC">
      <w:pPr>
        <w:pBdr>
          <w:top w:val="single" w:sz="4" w:space="1" w:color="auto"/>
          <w:left w:val="single" w:sz="4" w:space="4" w:color="auto"/>
          <w:bottom w:val="single" w:sz="4" w:space="0" w:color="auto"/>
          <w:right w:val="single" w:sz="4" w:space="4" w:color="auto"/>
        </w:pBdr>
        <w:jc w:val="both"/>
        <w:rPr>
          <w:b/>
        </w:rPr>
      </w:pPr>
      <w:r w:rsidRPr="000F1EB5">
        <w:rPr>
          <w:b/>
        </w:rPr>
        <w:t xml:space="preserve">     </w:t>
      </w:r>
      <w:r w:rsidR="00706221" w:rsidRPr="000F1EB5">
        <w:rPr>
          <w:b/>
        </w:rPr>
        <w:t>Pozitívny vplyv na príjmovú časť verejných financií bude mať výber pokút podľa sadzieb stanovených zákonom.</w:t>
      </w:r>
      <w:r w:rsidR="00F74260">
        <w:rPr>
          <w:b/>
        </w:rPr>
        <w:t xml:space="preserve"> </w:t>
      </w:r>
      <w:r w:rsidR="00706221" w:rsidRPr="000F1EB5">
        <w:rPr>
          <w:b/>
        </w:rPr>
        <w:t>Prípadný pozitívny vplyv na príjmovú časť verejných financií bude mať tiež výber správnych poplatkov za konanie o akreditácii jednotky CSIRT (navrhovaný správny poplatok vo výške 1 500 eur)</w:t>
      </w:r>
      <w:r w:rsidR="006448AC">
        <w:rPr>
          <w:b/>
        </w:rPr>
        <w:t>.</w:t>
      </w:r>
    </w:p>
    <w:p w:rsidR="006448AC" w:rsidRPr="000F1EB5" w:rsidRDefault="006448AC" w:rsidP="006448AC">
      <w:pPr>
        <w:pBdr>
          <w:top w:val="single" w:sz="4" w:space="1" w:color="auto"/>
          <w:left w:val="single" w:sz="4" w:space="4" w:color="auto"/>
          <w:bottom w:val="single" w:sz="4" w:space="0" w:color="auto"/>
          <w:right w:val="single" w:sz="4" w:space="4" w:color="auto"/>
        </w:pBdr>
        <w:jc w:val="both"/>
        <w:rPr>
          <w:b/>
        </w:rPr>
      </w:pPr>
    </w:p>
    <w:p w:rsidR="006448AC" w:rsidRDefault="00706221" w:rsidP="006448AC">
      <w:pPr>
        <w:pBdr>
          <w:top w:val="single" w:sz="4" w:space="1" w:color="auto"/>
          <w:left w:val="single" w:sz="4" w:space="4" w:color="auto"/>
          <w:bottom w:val="single" w:sz="4" w:space="0" w:color="auto"/>
          <w:right w:val="single" w:sz="4" w:space="4" w:color="auto"/>
        </w:pBdr>
        <w:jc w:val="both"/>
        <w:rPr>
          <w:b/>
        </w:rPr>
      </w:pPr>
      <w:r w:rsidRPr="000F1EB5">
        <w:rPr>
          <w:b/>
        </w:rPr>
        <w:t xml:space="preserve">     Nakoľko ide o inštitúty v zmysle novo navrhovanej právnej úpravy nie je v súčasnosti možné konkrétne vyčísliť výšku  predpokladaného pozitívneho vplyvu na príjmovú časť verejných financií.  </w:t>
      </w:r>
    </w:p>
    <w:p w:rsidR="006448AC" w:rsidRDefault="006448AC" w:rsidP="006448AC">
      <w:pPr>
        <w:pBdr>
          <w:top w:val="single" w:sz="4" w:space="1" w:color="auto"/>
          <w:left w:val="single" w:sz="4" w:space="4" w:color="auto"/>
          <w:bottom w:val="single" w:sz="4" w:space="0" w:color="auto"/>
          <w:right w:val="single" w:sz="4" w:space="4" w:color="auto"/>
        </w:pBdr>
        <w:jc w:val="both"/>
        <w:rPr>
          <w:b/>
        </w:rPr>
      </w:pPr>
    </w:p>
    <w:p w:rsidR="00EA30E1" w:rsidRPr="000F1EB5" w:rsidRDefault="00C265CE" w:rsidP="006448AC">
      <w:pPr>
        <w:pBdr>
          <w:top w:val="single" w:sz="4" w:space="1" w:color="auto"/>
          <w:left w:val="single" w:sz="4" w:space="4" w:color="auto"/>
          <w:bottom w:val="single" w:sz="4" w:space="0" w:color="auto"/>
          <w:right w:val="single" w:sz="4" w:space="4" w:color="auto"/>
        </w:pBdr>
        <w:jc w:val="both"/>
        <w:rPr>
          <w:b/>
        </w:rPr>
      </w:pPr>
      <w:r w:rsidRPr="000F1EB5">
        <w:rPr>
          <w:rFonts w:ascii="Times" w:hAnsi="Times" w:cs="Times"/>
          <w:b/>
        </w:rPr>
        <w:t xml:space="preserve">     Negatívne finančné dopady</w:t>
      </w:r>
      <w:r w:rsidR="002E46D9" w:rsidRPr="000F1EB5">
        <w:rPr>
          <w:rFonts w:ascii="Times" w:hAnsi="Times" w:cs="Times"/>
          <w:b/>
        </w:rPr>
        <w:t xml:space="preserve"> </w:t>
      </w:r>
      <w:r w:rsidR="00295056" w:rsidRPr="000F1EB5">
        <w:rPr>
          <w:rFonts w:ascii="Times" w:hAnsi="Times" w:cs="Times"/>
          <w:b/>
        </w:rPr>
        <w:t xml:space="preserve">návrhu zákona a zvýšené nároky sú </w:t>
      </w:r>
      <w:r w:rsidRPr="000F1EB5">
        <w:rPr>
          <w:rFonts w:ascii="Times" w:hAnsi="Times" w:cs="Times"/>
          <w:b/>
        </w:rPr>
        <w:t>na rozpočet</w:t>
      </w:r>
      <w:r w:rsidR="00706221" w:rsidRPr="000F1EB5">
        <w:rPr>
          <w:b/>
        </w:rPr>
        <w:t xml:space="preserve"> </w:t>
      </w:r>
      <w:r w:rsidRPr="000F1EB5">
        <w:rPr>
          <w:b/>
        </w:rPr>
        <w:t>Národného</w:t>
      </w:r>
      <w:r w:rsidR="00706221" w:rsidRPr="000F1EB5">
        <w:rPr>
          <w:b/>
        </w:rPr>
        <w:t xml:space="preserve"> bezpečnostn</w:t>
      </w:r>
      <w:r w:rsidRPr="000F1EB5">
        <w:rPr>
          <w:b/>
        </w:rPr>
        <w:t>ého</w:t>
      </w:r>
      <w:r w:rsidR="00706221" w:rsidRPr="000F1EB5">
        <w:rPr>
          <w:b/>
        </w:rPr>
        <w:t xml:space="preserve"> úrad</w:t>
      </w:r>
      <w:r w:rsidR="00F74260">
        <w:rPr>
          <w:b/>
        </w:rPr>
        <w:t xml:space="preserve">u a </w:t>
      </w:r>
      <w:r w:rsidR="00F74260" w:rsidRPr="000F1EB5">
        <w:rPr>
          <w:b/>
        </w:rPr>
        <w:t xml:space="preserve">orgánov verejnej moci, ktoré budú podľa návrhu zákona </w:t>
      </w:r>
      <w:r w:rsidR="00963AB3">
        <w:rPr>
          <w:b/>
        </w:rPr>
        <w:t>ústredným orgán</w:t>
      </w:r>
      <w:r w:rsidR="00C747CC">
        <w:rPr>
          <w:b/>
        </w:rPr>
        <w:t xml:space="preserve"> v oblasti kybernetickej bezpečnosti</w:t>
      </w:r>
      <w:r w:rsidRPr="000F1EB5">
        <w:rPr>
          <w:b/>
        </w:rPr>
        <w:t xml:space="preserve"> </w:t>
      </w:r>
      <w:r w:rsidR="00963AB3">
        <w:rPr>
          <w:b/>
        </w:rPr>
        <w:t xml:space="preserve">a budú </w:t>
      </w:r>
      <w:r w:rsidR="00706221" w:rsidRPr="000F1EB5">
        <w:rPr>
          <w:b/>
        </w:rPr>
        <w:t>plniť úplne nové úlohy na ktoré nem</w:t>
      </w:r>
      <w:r w:rsidR="00F74260">
        <w:rPr>
          <w:b/>
        </w:rPr>
        <w:t>ajú</w:t>
      </w:r>
      <w:r w:rsidR="00706221" w:rsidRPr="000F1EB5">
        <w:rPr>
          <w:b/>
        </w:rPr>
        <w:t xml:space="preserve"> zabezpečené </w:t>
      </w:r>
      <w:r w:rsidR="00F74260">
        <w:rPr>
          <w:b/>
        </w:rPr>
        <w:t xml:space="preserve">personálne kapacity ani </w:t>
      </w:r>
      <w:r w:rsidR="00706221" w:rsidRPr="000F1EB5">
        <w:rPr>
          <w:b/>
        </w:rPr>
        <w:t xml:space="preserve">finančné prostriedky </w:t>
      </w:r>
      <w:r w:rsidR="00F74260">
        <w:rPr>
          <w:b/>
        </w:rPr>
        <w:t>na bežn</w:t>
      </w:r>
      <w:r w:rsidR="00C747CC">
        <w:rPr>
          <w:b/>
        </w:rPr>
        <w:t>é</w:t>
      </w:r>
      <w:r w:rsidR="00F74260">
        <w:rPr>
          <w:b/>
        </w:rPr>
        <w:t xml:space="preserve"> a mzdové výdavky</w:t>
      </w:r>
      <w:r w:rsidR="00706221" w:rsidRPr="000F1EB5">
        <w:rPr>
          <w:b/>
        </w:rPr>
        <w:t xml:space="preserve">. </w:t>
      </w:r>
      <w:r w:rsidR="00EA30E1" w:rsidRPr="000F1EB5">
        <w:rPr>
          <w:rFonts w:ascii="Times" w:hAnsi="Times" w:cs="Times"/>
          <w:b/>
        </w:rPr>
        <w:t xml:space="preserve">Národný bezpečnostný úrad </w:t>
      </w:r>
      <w:r w:rsidR="00785796">
        <w:rPr>
          <w:rFonts w:ascii="Times" w:hAnsi="Times" w:cs="Times"/>
          <w:b/>
        </w:rPr>
        <w:t>a</w:t>
      </w:r>
      <w:r w:rsidR="00C747CC">
        <w:rPr>
          <w:rFonts w:ascii="Times" w:hAnsi="Times" w:cs="Times"/>
          <w:b/>
        </w:rPr>
        <w:t> </w:t>
      </w:r>
      <w:r w:rsidR="00785796" w:rsidRPr="000F1EB5">
        <w:rPr>
          <w:b/>
        </w:rPr>
        <w:t>ústredné orgány, ktoré si uplatnili nekryté nároky na rozpočet verejnej správy, ak je to bude vzhľadom na nové úlohy v oblasti kybernetickej bezpečnosti potrebné si budú tieto uplatňovať v rámci prípravy návrhu štátneho rozpočtu na jednotlivé roky v rámci svojich rozpočtových kapitol.</w:t>
      </w:r>
    </w:p>
    <w:p w:rsidR="00785796" w:rsidRDefault="00785796" w:rsidP="006448AC">
      <w:pPr>
        <w:pBdr>
          <w:top w:val="single" w:sz="4" w:space="1" w:color="auto"/>
          <w:left w:val="single" w:sz="4" w:space="4" w:color="auto"/>
          <w:bottom w:val="single" w:sz="4" w:space="0" w:color="auto"/>
          <w:right w:val="single" w:sz="4" w:space="4" w:color="auto"/>
        </w:pBdr>
        <w:jc w:val="both"/>
        <w:rPr>
          <w:b/>
        </w:rPr>
      </w:pPr>
    </w:p>
    <w:p w:rsidR="00EA30E1" w:rsidRDefault="00EA30E1" w:rsidP="006448AC">
      <w:pPr>
        <w:pBdr>
          <w:top w:val="single" w:sz="4" w:space="1" w:color="auto"/>
          <w:left w:val="single" w:sz="4" w:space="4" w:color="auto"/>
          <w:bottom w:val="single" w:sz="4" w:space="0" w:color="auto"/>
          <w:right w:val="single" w:sz="4" w:space="4" w:color="auto"/>
        </w:pBdr>
        <w:jc w:val="both"/>
        <w:rPr>
          <w:rFonts w:ascii="Times" w:hAnsi="Times" w:cs="Times"/>
          <w:b/>
        </w:rPr>
      </w:pPr>
      <w:r w:rsidRPr="000F1EB5">
        <w:rPr>
          <w:rFonts w:ascii="Times" w:hAnsi="Times" w:cs="Times"/>
          <w:b/>
        </w:rPr>
        <w:t xml:space="preserve">     Financovanie </w:t>
      </w:r>
      <w:r w:rsidR="00F74260">
        <w:rPr>
          <w:rFonts w:ascii="Times" w:hAnsi="Times" w:cs="Times"/>
          <w:b/>
        </w:rPr>
        <w:t>kapitálových výdavkov vyplývajúcich s</w:t>
      </w:r>
      <w:r w:rsidR="00170040" w:rsidRPr="000F1EB5">
        <w:rPr>
          <w:rFonts w:ascii="Times" w:hAnsi="Times" w:cs="Times"/>
          <w:b/>
        </w:rPr>
        <w:t xml:space="preserve"> návrhu zákona (</w:t>
      </w:r>
      <w:r w:rsidR="00963AB3">
        <w:rPr>
          <w:rFonts w:ascii="Times" w:hAnsi="Times" w:cs="Times"/>
          <w:b/>
        </w:rPr>
        <w:t xml:space="preserve">ako </w:t>
      </w:r>
      <w:r w:rsidR="00170040" w:rsidRPr="000F1EB5">
        <w:rPr>
          <w:rFonts w:ascii="Times" w:hAnsi="Times" w:cs="Times"/>
          <w:b/>
        </w:rPr>
        <w:t xml:space="preserve">napr. sieť jednotiek CSIRT, jednotný informačný systém kybernetickej bezpečnosti, </w:t>
      </w:r>
      <w:r w:rsidRPr="000F1EB5">
        <w:rPr>
          <w:rFonts w:ascii="Times" w:hAnsi="Times" w:cs="Times"/>
          <w:b/>
        </w:rPr>
        <w:t xml:space="preserve"> </w:t>
      </w:r>
      <w:r w:rsidR="00170040" w:rsidRPr="000F1EB5">
        <w:rPr>
          <w:rFonts w:ascii="Times" w:hAnsi="Times" w:cs="Times"/>
          <w:b/>
        </w:rPr>
        <w:t>z</w:t>
      </w:r>
      <w:r w:rsidR="00170040" w:rsidRPr="000F1EB5">
        <w:rPr>
          <w:b/>
        </w:rPr>
        <w:t>osúladenie existujúcich sietí a informačných systémov orgánov verejnej moci a subjektov kritickej infraštruktúry s požiadavkami tohto zákona</w:t>
      </w:r>
      <w:r w:rsidR="00785796">
        <w:rPr>
          <w:b/>
        </w:rPr>
        <w:t xml:space="preserve"> a  prijatie</w:t>
      </w:r>
      <w:r w:rsidR="00785796" w:rsidRPr="000F1EB5">
        <w:rPr>
          <w:b/>
        </w:rPr>
        <w:t xml:space="preserve"> požadovan</w:t>
      </w:r>
      <w:r w:rsidR="00785796">
        <w:rPr>
          <w:b/>
        </w:rPr>
        <w:t>ých bezpečnostných opatrení</w:t>
      </w:r>
      <w:r w:rsidR="00785796" w:rsidRPr="000F1EB5">
        <w:rPr>
          <w:b/>
        </w:rPr>
        <w:t>,</w:t>
      </w:r>
      <w:r w:rsidR="00785796" w:rsidRPr="000F1EB5">
        <w:rPr>
          <w:b/>
          <w:bCs/>
        </w:rPr>
        <w:t xml:space="preserve"> ktorých cieľom je zabezpečenie kybernetickej bezpečnosti počas životného cyklu sietí a informačných systémov</w:t>
      </w:r>
      <w:r w:rsidR="00170040" w:rsidRPr="000F1EB5">
        <w:rPr>
          <w:b/>
        </w:rPr>
        <w:t xml:space="preserve">) </w:t>
      </w:r>
      <w:r w:rsidRPr="000F1EB5">
        <w:rPr>
          <w:rFonts w:ascii="Times" w:hAnsi="Times" w:cs="Times"/>
          <w:b/>
        </w:rPr>
        <w:t>bude zabezpečené zo zdrojov európskych štrukturálnych a investičných fondov v programovom období 2014 – 2020, a to z Operačného programu Integrovaná infraštruktúra v rámci prioritnej osi č. 7 „Informačná spoločnosť“ špecifický cieľ 7.9 Zabezpečenie komplexnej kybernetickej bezpečnosti v spoločnosti, v predpokladanej výške 10% z celkových výdavkov programu (t. j. zo sumy 947 666 768 mil. eur., vrátane spolufinancovania 142 150 016 eur.) rozpočítaných na jednotlivé roky.</w:t>
      </w:r>
    </w:p>
    <w:p w:rsidR="00963AB3" w:rsidRDefault="00963AB3" w:rsidP="006448AC">
      <w:pPr>
        <w:pBdr>
          <w:top w:val="single" w:sz="4" w:space="1" w:color="auto"/>
          <w:left w:val="single" w:sz="4" w:space="4" w:color="auto"/>
          <w:bottom w:val="single" w:sz="4" w:space="0" w:color="auto"/>
          <w:right w:val="single" w:sz="4" w:space="4" w:color="auto"/>
        </w:pBdr>
        <w:jc w:val="both"/>
        <w:rPr>
          <w:rFonts w:ascii="Times" w:hAnsi="Times" w:cs="Times"/>
          <w:b/>
        </w:rPr>
      </w:pPr>
    </w:p>
    <w:p w:rsidR="00963AB3" w:rsidRPr="000F1EB5" w:rsidRDefault="00963AB3" w:rsidP="00963AB3">
      <w:pPr>
        <w:pBdr>
          <w:top w:val="single" w:sz="4" w:space="1" w:color="auto"/>
          <w:left w:val="single" w:sz="4" w:space="4" w:color="auto"/>
          <w:bottom w:val="single" w:sz="4" w:space="0" w:color="auto"/>
          <w:right w:val="single" w:sz="4" w:space="4" w:color="auto"/>
        </w:pBdr>
        <w:jc w:val="both"/>
        <w:rPr>
          <w:rFonts w:ascii="Times" w:hAnsi="Times" w:cs="Times"/>
          <w:b/>
        </w:rPr>
      </w:pPr>
      <w:r>
        <w:rPr>
          <w:b/>
        </w:rPr>
        <w:t xml:space="preserve">     </w:t>
      </w:r>
      <w:r w:rsidRPr="000F1EB5">
        <w:rPr>
          <w:b/>
        </w:rPr>
        <w:t>V súčasnosti prebieha príprava štúdií, ktorých súčasťou bude aj ekonomická analýza úzko súvisiaca s aplikáciou zákona. Nakoľko tieto štúdie nie sú ešte sfinalizované, nie je možné explicitne zadefinovať presné dopady jednotlivých ustanovení, avšak je možné očakávať, že celkový prínos navrhovanej úpravy prevýši výdavky potrebné na implementáciu zákona.</w:t>
      </w:r>
    </w:p>
    <w:p w:rsidR="00170040" w:rsidRPr="00AF604D" w:rsidRDefault="00170040" w:rsidP="006448AC">
      <w:pPr>
        <w:pBdr>
          <w:top w:val="single" w:sz="4" w:space="1" w:color="auto"/>
          <w:left w:val="single" w:sz="4" w:space="4" w:color="auto"/>
          <w:bottom w:val="single" w:sz="4" w:space="0" w:color="auto"/>
          <w:right w:val="single" w:sz="4" w:space="4" w:color="auto"/>
        </w:pBdr>
        <w:jc w:val="both"/>
        <w:rPr>
          <w:rFonts w:ascii="Times" w:hAnsi="Times" w:cs="Times"/>
        </w:rPr>
      </w:pPr>
    </w:p>
    <w:p w:rsidR="00AB12FE" w:rsidRDefault="00AB12FE" w:rsidP="00252F43">
      <w:pPr>
        <w:rPr>
          <w:b/>
          <w:bCs/>
          <w:sz w:val="24"/>
          <w:szCs w:val="24"/>
        </w:rPr>
      </w:pPr>
    </w:p>
    <w:p w:rsidR="00252F43" w:rsidRPr="00870D7F" w:rsidRDefault="00252F43" w:rsidP="00252F43">
      <w:pPr>
        <w:rPr>
          <w:b/>
          <w:bCs/>
          <w:sz w:val="24"/>
          <w:szCs w:val="24"/>
        </w:rPr>
      </w:pPr>
      <w:r w:rsidRPr="00870D7F">
        <w:rPr>
          <w:b/>
          <w:bCs/>
          <w:sz w:val="24"/>
          <w:szCs w:val="24"/>
        </w:rPr>
        <w:t>2.2. Popis a charakteristika návrhu</w:t>
      </w:r>
    </w:p>
    <w:p w:rsidR="00252F43" w:rsidRPr="00870D7F" w:rsidRDefault="00252F43" w:rsidP="00252F43">
      <w:pPr>
        <w:rPr>
          <w:sz w:val="24"/>
          <w:szCs w:val="24"/>
        </w:rPr>
      </w:pPr>
    </w:p>
    <w:p w:rsidR="00252F43" w:rsidRPr="00870D7F" w:rsidRDefault="00252F43" w:rsidP="00252F43">
      <w:pPr>
        <w:jc w:val="both"/>
        <w:rPr>
          <w:b/>
          <w:bCs/>
          <w:sz w:val="24"/>
          <w:szCs w:val="24"/>
        </w:rPr>
      </w:pPr>
      <w:r w:rsidRPr="00870D7F">
        <w:rPr>
          <w:b/>
          <w:bCs/>
          <w:sz w:val="24"/>
          <w:szCs w:val="24"/>
        </w:rPr>
        <w:t>2.2.1. Popis návrhu:</w:t>
      </w:r>
    </w:p>
    <w:p w:rsidR="001A0D26" w:rsidRPr="00EA30E1" w:rsidRDefault="001A0D26" w:rsidP="00252F43">
      <w:pPr>
        <w:spacing w:before="120" w:after="120"/>
        <w:jc w:val="both"/>
      </w:pPr>
      <w:r>
        <w:rPr>
          <w:sz w:val="24"/>
          <w:szCs w:val="24"/>
        </w:rPr>
        <w:t xml:space="preserve">     </w:t>
      </w:r>
      <w:r w:rsidR="00252F43" w:rsidRPr="00EA30E1">
        <w:t xml:space="preserve">Cieľom návrhu zákona o kybernetickej bezpečnosti je vytvoriť funkčný legislatívny rámec nutný pre efektívnu realizáciu kľúčových opatrení pre bezpečnosť národného kybernetického priestoru, ktorý transponuje priority a požiadavky, ktoré boli vytvorené na európskej úrovni a prijaté všeobecným konsenzom prostredníctvom smernice Európskeho parlamentu a Rady (EÚ) 2016/1148 zo 6.  júla 2016 o opatreniach na zabezpečenie vysokej spoločnej úrovne bezpečnosti sietí a informačných systémov v Únii. </w:t>
      </w:r>
    </w:p>
    <w:p w:rsidR="001A0D26" w:rsidRPr="00EA30E1" w:rsidRDefault="001A0D26" w:rsidP="00252F43">
      <w:pPr>
        <w:spacing w:before="120" w:after="120"/>
        <w:jc w:val="both"/>
        <w:rPr>
          <w:color w:val="000000"/>
          <w:lang w:eastAsia="cs-CZ"/>
        </w:rPr>
      </w:pPr>
      <w:r w:rsidRPr="00EA30E1">
        <w:t xml:space="preserve">     </w:t>
      </w:r>
      <w:r w:rsidR="00252F43" w:rsidRPr="00EA30E1">
        <w:t xml:space="preserve">Zákon definuje základné bezpečnostné požiadavky a bezpečnostné opatrenia na minimalizovanie možnosti vzniku kybernetického bezpečnostného incidentu. Návrh obsahuje základné procesné postupy na elimináciu škodlivých následkov a vplyvov vzniknutých kybernetických bezpečnostných incidentov alebo ich vzniku. </w:t>
      </w:r>
      <w:r w:rsidR="00252F43" w:rsidRPr="00EA30E1">
        <w:rPr>
          <w:lang w:eastAsia="cs-CZ"/>
        </w:rPr>
        <w:t xml:space="preserve">Návrh zákona tak </w:t>
      </w:r>
      <w:r w:rsidR="00252F43" w:rsidRPr="00EA30E1">
        <w:t>vytvára podmienky pre ucelený, koordinovaný a efektívny systém ochrany národného kybernetického priestoru</w:t>
      </w:r>
      <w:r w:rsidR="00252F43" w:rsidRPr="00EA30E1">
        <w:rPr>
          <w:color w:val="000000"/>
          <w:lang w:eastAsia="cs-CZ"/>
        </w:rPr>
        <w:t xml:space="preserve">. </w:t>
      </w:r>
    </w:p>
    <w:p w:rsidR="00252F43" w:rsidRPr="00EA30E1" w:rsidRDefault="001A0D26" w:rsidP="00252F43">
      <w:pPr>
        <w:spacing w:before="120" w:after="120"/>
        <w:jc w:val="both"/>
      </w:pPr>
      <w:r w:rsidRPr="00EA30E1">
        <w:rPr>
          <w:color w:val="000000"/>
          <w:lang w:eastAsia="cs-CZ"/>
        </w:rPr>
        <w:t xml:space="preserve">     </w:t>
      </w:r>
      <w:r w:rsidR="00252F43" w:rsidRPr="00EA30E1">
        <w:t xml:space="preserve">Predkladaný návrh plne reflektuje na požiadavky prijatej smernice Európskeho parlamentu a Rady (EÚ) 2016/1148 zo 6.  júla 2016 o opatreniach na zabezpečenie vysokej spoločnej úrovne bezpečnosti sietí a informačných systémov v Únii. </w:t>
      </w:r>
    </w:p>
    <w:p w:rsidR="00252F43" w:rsidRDefault="00252F43" w:rsidP="00252F43">
      <w:pPr>
        <w:rPr>
          <w:b/>
          <w:bCs/>
          <w:sz w:val="24"/>
          <w:szCs w:val="24"/>
        </w:rPr>
      </w:pPr>
    </w:p>
    <w:p w:rsidR="003E6D79" w:rsidRDefault="003E6D79" w:rsidP="00252F43">
      <w:pPr>
        <w:rPr>
          <w:b/>
          <w:bCs/>
          <w:sz w:val="24"/>
          <w:szCs w:val="24"/>
        </w:rPr>
      </w:pPr>
    </w:p>
    <w:p w:rsidR="003E6D79" w:rsidRPr="00870D7F" w:rsidRDefault="003E6D79" w:rsidP="00252F43">
      <w:pPr>
        <w:rPr>
          <w:b/>
          <w:bCs/>
          <w:sz w:val="24"/>
          <w:szCs w:val="24"/>
        </w:rPr>
      </w:pPr>
    </w:p>
    <w:p w:rsidR="00252F43" w:rsidRDefault="00252F43" w:rsidP="00252F43">
      <w:pPr>
        <w:rPr>
          <w:b/>
          <w:bCs/>
          <w:sz w:val="24"/>
          <w:szCs w:val="24"/>
        </w:rPr>
      </w:pPr>
      <w:r w:rsidRPr="00870D7F">
        <w:rPr>
          <w:b/>
          <w:bCs/>
          <w:sz w:val="24"/>
          <w:szCs w:val="24"/>
        </w:rPr>
        <w:lastRenderedPageBreak/>
        <w:t>2.2.2. Charakteristika návrhu:</w:t>
      </w:r>
    </w:p>
    <w:p w:rsidR="002E46D9" w:rsidRPr="00870D7F" w:rsidRDefault="002E46D9" w:rsidP="00252F43">
      <w:pPr>
        <w:rPr>
          <w:b/>
          <w:bCs/>
          <w:sz w:val="24"/>
          <w:szCs w:val="24"/>
        </w:rPr>
      </w:pPr>
    </w:p>
    <w:p w:rsidR="002E46D9" w:rsidRPr="005F3F34" w:rsidRDefault="002E46D9" w:rsidP="002E46D9">
      <w:pPr>
        <w:rPr>
          <w:sz w:val="24"/>
          <w:szCs w:val="24"/>
        </w:rPr>
      </w:pPr>
      <w:r w:rsidRPr="005F3F34">
        <w:rPr>
          <w:b/>
          <w:sz w:val="24"/>
          <w:szCs w:val="24"/>
          <w:bdr w:val="single" w:sz="4" w:space="0" w:color="auto"/>
        </w:rPr>
        <w:t xml:space="preserve">     </w:t>
      </w:r>
      <w:r w:rsidRPr="005F3F34">
        <w:rPr>
          <w:b/>
          <w:sz w:val="24"/>
          <w:szCs w:val="24"/>
        </w:rPr>
        <w:t xml:space="preserve">  </w:t>
      </w:r>
      <w:r w:rsidRPr="005F3F34">
        <w:rPr>
          <w:sz w:val="24"/>
          <w:szCs w:val="24"/>
        </w:rPr>
        <w:t>zmena sadzby</w:t>
      </w:r>
    </w:p>
    <w:p w:rsidR="002E46D9" w:rsidRPr="005F3F34" w:rsidRDefault="002E46D9" w:rsidP="002E46D9">
      <w:pPr>
        <w:rPr>
          <w:sz w:val="24"/>
          <w:szCs w:val="24"/>
        </w:rPr>
      </w:pPr>
      <w:r w:rsidRPr="005F3F34">
        <w:rPr>
          <w:sz w:val="24"/>
          <w:szCs w:val="24"/>
          <w:bdr w:val="single" w:sz="4" w:space="0" w:color="auto"/>
        </w:rPr>
        <w:t xml:space="preserve">     </w:t>
      </w:r>
      <w:r w:rsidRPr="005F3F34">
        <w:rPr>
          <w:sz w:val="24"/>
          <w:szCs w:val="24"/>
        </w:rPr>
        <w:t xml:space="preserve">  zmena v nároku</w:t>
      </w:r>
    </w:p>
    <w:p w:rsidR="002E46D9" w:rsidRPr="005F3F34" w:rsidRDefault="002E46D9" w:rsidP="002E46D9">
      <w:pPr>
        <w:rPr>
          <w:sz w:val="24"/>
          <w:szCs w:val="24"/>
        </w:rPr>
      </w:pPr>
      <w:r w:rsidRPr="005F3F34">
        <w:rPr>
          <w:sz w:val="24"/>
          <w:szCs w:val="24"/>
          <w:bdr w:val="single" w:sz="4" w:space="0" w:color="auto"/>
        </w:rPr>
        <w:t xml:space="preserve">     </w:t>
      </w:r>
      <w:r w:rsidRPr="005F3F34">
        <w:rPr>
          <w:sz w:val="24"/>
          <w:szCs w:val="24"/>
        </w:rPr>
        <w:t xml:space="preserve">  nová služba alebo nariadenie (alebo ich zrušenie)</w:t>
      </w:r>
    </w:p>
    <w:p w:rsidR="002E46D9" w:rsidRPr="005F3F34" w:rsidRDefault="002E46D9" w:rsidP="002E46D9">
      <w:pPr>
        <w:rPr>
          <w:sz w:val="24"/>
          <w:szCs w:val="24"/>
        </w:rPr>
      </w:pPr>
      <w:r w:rsidRPr="005F3F34">
        <w:rPr>
          <w:sz w:val="24"/>
          <w:szCs w:val="24"/>
          <w:bdr w:val="single" w:sz="4" w:space="0" w:color="auto"/>
        </w:rPr>
        <w:t xml:space="preserve"> </w:t>
      </w:r>
      <w:r>
        <w:rPr>
          <w:sz w:val="24"/>
          <w:szCs w:val="24"/>
          <w:bdr w:val="single" w:sz="4" w:space="0" w:color="auto"/>
        </w:rPr>
        <w:t>x</w:t>
      </w:r>
      <w:r w:rsidRPr="005F3F34">
        <w:rPr>
          <w:sz w:val="24"/>
          <w:szCs w:val="24"/>
          <w:bdr w:val="single" w:sz="4" w:space="0" w:color="auto"/>
        </w:rPr>
        <w:t xml:space="preserve">  </w:t>
      </w:r>
      <w:r w:rsidRPr="005F3F34">
        <w:rPr>
          <w:sz w:val="24"/>
          <w:szCs w:val="24"/>
        </w:rPr>
        <w:t xml:space="preserve">  kombinovaný návrh</w:t>
      </w:r>
    </w:p>
    <w:p w:rsidR="002E46D9" w:rsidRPr="005F3F34" w:rsidRDefault="002E46D9" w:rsidP="002E46D9">
      <w:pPr>
        <w:rPr>
          <w:sz w:val="24"/>
          <w:szCs w:val="24"/>
        </w:rPr>
      </w:pPr>
      <w:r w:rsidRPr="005F3F34">
        <w:rPr>
          <w:sz w:val="24"/>
          <w:szCs w:val="24"/>
          <w:bdr w:val="single" w:sz="4" w:space="0" w:color="auto"/>
        </w:rPr>
        <w:t xml:space="preserve">     </w:t>
      </w:r>
      <w:r w:rsidRPr="005F3F34">
        <w:rPr>
          <w:sz w:val="24"/>
          <w:szCs w:val="24"/>
        </w:rPr>
        <w:t xml:space="preserve">  iné </w:t>
      </w:r>
    </w:p>
    <w:p w:rsidR="00252F43" w:rsidRPr="00870D7F" w:rsidRDefault="00252F43" w:rsidP="00252F43">
      <w:pPr>
        <w:rPr>
          <w:sz w:val="24"/>
          <w:szCs w:val="24"/>
        </w:rPr>
      </w:pPr>
    </w:p>
    <w:p w:rsidR="00252F43" w:rsidRPr="00870D7F" w:rsidRDefault="00252F43" w:rsidP="00252F43">
      <w:pPr>
        <w:rPr>
          <w:sz w:val="24"/>
          <w:szCs w:val="24"/>
        </w:rPr>
      </w:pPr>
      <w:r w:rsidRPr="00870D7F">
        <w:rPr>
          <w:b/>
          <w:bCs/>
          <w:sz w:val="24"/>
          <w:szCs w:val="24"/>
        </w:rPr>
        <w:t>2.2.3. Predpoklady vývoja objemu aktivít:</w:t>
      </w:r>
    </w:p>
    <w:p w:rsidR="00252F43" w:rsidRPr="00870D7F" w:rsidRDefault="00252F43" w:rsidP="00252F43">
      <w:pPr>
        <w:spacing w:after="120"/>
        <w:jc w:val="right"/>
        <w:rPr>
          <w:sz w:val="24"/>
          <w:szCs w:val="24"/>
        </w:rPr>
      </w:pPr>
      <w:r w:rsidRPr="00870D7F">
        <w:rPr>
          <w:sz w:val="24"/>
          <w:szCs w:val="24"/>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1134"/>
        <w:gridCol w:w="1134"/>
        <w:gridCol w:w="1134"/>
        <w:gridCol w:w="1134"/>
      </w:tblGrid>
      <w:tr w:rsidR="00252F43" w:rsidRPr="00870D7F" w:rsidTr="00252F43">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52F43" w:rsidRPr="002E46D9" w:rsidRDefault="00252F43">
            <w:pPr>
              <w:autoSpaceDE w:val="0"/>
              <w:autoSpaceDN w:val="0"/>
              <w:adjustRightInd w:val="0"/>
              <w:spacing w:line="256" w:lineRule="auto"/>
              <w:jc w:val="center"/>
              <w:rPr>
                <w:b/>
                <w:bCs/>
                <w:lang w:eastAsia="en-US"/>
              </w:rPr>
            </w:pPr>
            <w:r w:rsidRPr="002E46D9">
              <w:rPr>
                <w:b/>
                <w:bCs/>
                <w:lang w:eastAsia="en-US"/>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52F43" w:rsidRPr="002E46D9" w:rsidRDefault="00252F43">
            <w:pPr>
              <w:autoSpaceDE w:val="0"/>
              <w:autoSpaceDN w:val="0"/>
              <w:adjustRightInd w:val="0"/>
              <w:spacing w:line="256" w:lineRule="auto"/>
              <w:jc w:val="center"/>
              <w:rPr>
                <w:b/>
                <w:bCs/>
                <w:lang w:eastAsia="en-US"/>
              </w:rPr>
            </w:pPr>
            <w:r w:rsidRPr="002E46D9">
              <w:rPr>
                <w:b/>
                <w:bCs/>
                <w:lang w:eastAsia="en-US"/>
              </w:rPr>
              <w:t>Odhadované objemy</w:t>
            </w:r>
          </w:p>
        </w:tc>
      </w:tr>
      <w:tr w:rsidR="00252F43" w:rsidRPr="00870D7F" w:rsidTr="00252F43">
        <w:trPr>
          <w:cantSplit/>
          <w:trHeight w:val="70"/>
        </w:trPr>
        <w:tc>
          <w:tcPr>
            <w:tcW w:w="4530" w:type="dxa"/>
            <w:vMerge/>
            <w:tcBorders>
              <w:top w:val="single" w:sz="4" w:space="0" w:color="auto"/>
              <w:left w:val="single" w:sz="4" w:space="0" w:color="auto"/>
              <w:bottom w:val="single" w:sz="4" w:space="0" w:color="auto"/>
              <w:right w:val="single" w:sz="4" w:space="0" w:color="auto"/>
            </w:tcBorders>
            <w:vAlign w:val="center"/>
            <w:hideMark/>
          </w:tcPr>
          <w:p w:rsidR="00252F43" w:rsidRPr="002E46D9" w:rsidRDefault="00252F43">
            <w:pPr>
              <w:spacing w:line="256" w:lineRule="auto"/>
              <w:rPr>
                <w:b/>
                <w:bCs/>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52F43" w:rsidRPr="002E46D9" w:rsidRDefault="00252F43">
            <w:pPr>
              <w:autoSpaceDE w:val="0"/>
              <w:autoSpaceDN w:val="0"/>
              <w:adjustRightInd w:val="0"/>
              <w:spacing w:line="256" w:lineRule="auto"/>
              <w:jc w:val="center"/>
              <w:rPr>
                <w:b/>
                <w:bCs/>
                <w:lang w:eastAsia="en-US"/>
              </w:rPr>
            </w:pPr>
            <w:r w:rsidRPr="002E46D9">
              <w:rPr>
                <w:b/>
                <w:bCs/>
                <w:lang w:eastAsia="en-US"/>
              </w:rPr>
              <w:t>2018</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52F43" w:rsidRPr="002E46D9" w:rsidRDefault="00252F43">
            <w:pPr>
              <w:autoSpaceDE w:val="0"/>
              <w:autoSpaceDN w:val="0"/>
              <w:adjustRightInd w:val="0"/>
              <w:spacing w:line="256" w:lineRule="auto"/>
              <w:jc w:val="center"/>
              <w:rPr>
                <w:b/>
                <w:bCs/>
                <w:lang w:eastAsia="en-US"/>
              </w:rPr>
            </w:pPr>
            <w:r w:rsidRPr="002E46D9">
              <w:rPr>
                <w:b/>
                <w:bCs/>
                <w:lang w:eastAsia="en-US"/>
              </w:rPr>
              <w:t>2019</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52F43" w:rsidRPr="002E46D9" w:rsidRDefault="00252F43">
            <w:pPr>
              <w:autoSpaceDE w:val="0"/>
              <w:autoSpaceDN w:val="0"/>
              <w:adjustRightInd w:val="0"/>
              <w:spacing w:line="256" w:lineRule="auto"/>
              <w:jc w:val="center"/>
              <w:rPr>
                <w:b/>
                <w:bCs/>
                <w:lang w:eastAsia="en-US"/>
              </w:rPr>
            </w:pPr>
            <w:r w:rsidRPr="002E46D9">
              <w:rPr>
                <w:b/>
                <w:bCs/>
                <w:lang w:eastAsia="en-US"/>
              </w:rPr>
              <w:t>2020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52F43" w:rsidRPr="00870D7F" w:rsidRDefault="00252F43">
            <w:pPr>
              <w:autoSpaceDE w:val="0"/>
              <w:autoSpaceDN w:val="0"/>
              <w:adjustRightInd w:val="0"/>
              <w:spacing w:line="256" w:lineRule="auto"/>
              <w:jc w:val="center"/>
              <w:rPr>
                <w:b/>
                <w:bCs/>
                <w:sz w:val="24"/>
                <w:szCs w:val="24"/>
                <w:lang w:eastAsia="en-US"/>
              </w:rPr>
            </w:pPr>
            <w:r w:rsidRPr="00870D7F">
              <w:rPr>
                <w:b/>
                <w:bCs/>
                <w:sz w:val="24"/>
                <w:szCs w:val="24"/>
                <w:lang w:eastAsia="en-US"/>
              </w:rPr>
              <w:t>2021</w:t>
            </w:r>
          </w:p>
        </w:tc>
      </w:tr>
      <w:tr w:rsidR="00252F43" w:rsidRPr="00870D7F" w:rsidTr="00252F43">
        <w:trPr>
          <w:trHeight w:val="70"/>
        </w:trPr>
        <w:tc>
          <w:tcPr>
            <w:tcW w:w="4530" w:type="dxa"/>
            <w:tcBorders>
              <w:top w:val="single" w:sz="4" w:space="0" w:color="auto"/>
              <w:left w:val="single" w:sz="4" w:space="0" w:color="auto"/>
              <w:bottom w:val="single" w:sz="4" w:space="0" w:color="auto"/>
              <w:right w:val="single" w:sz="4" w:space="0" w:color="auto"/>
            </w:tcBorders>
            <w:hideMark/>
          </w:tcPr>
          <w:p w:rsidR="00252F43" w:rsidRPr="002E46D9" w:rsidRDefault="00252F43">
            <w:pPr>
              <w:autoSpaceDE w:val="0"/>
              <w:autoSpaceDN w:val="0"/>
              <w:adjustRightInd w:val="0"/>
              <w:spacing w:line="256" w:lineRule="auto"/>
              <w:rPr>
                <w:color w:val="000000"/>
                <w:lang w:eastAsia="en-US"/>
              </w:rPr>
            </w:pPr>
            <w:r w:rsidRPr="002E46D9">
              <w:rPr>
                <w:color w:val="000000"/>
                <w:lang w:eastAsia="en-US"/>
              </w:rPr>
              <w:t>Indikátor ABC</w:t>
            </w:r>
          </w:p>
        </w:tc>
        <w:tc>
          <w:tcPr>
            <w:tcW w:w="1134" w:type="dxa"/>
            <w:tcBorders>
              <w:top w:val="single" w:sz="4" w:space="0" w:color="auto"/>
              <w:left w:val="single" w:sz="4" w:space="0" w:color="auto"/>
              <w:bottom w:val="single" w:sz="4" w:space="0" w:color="auto"/>
              <w:right w:val="single" w:sz="4" w:space="0" w:color="auto"/>
            </w:tcBorders>
          </w:tcPr>
          <w:p w:rsidR="00252F43" w:rsidRPr="002E46D9" w:rsidRDefault="00252F43">
            <w:pPr>
              <w:autoSpaceDE w:val="0"/>
              <w:autoSpaceDN w:val="0"/>
              <w:adjustRightInd w:val="0"/>
              <w:spacing w:line="256" w:lineRule="auto"/>
              <w:jc w:val="right"/>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252F43" w:rsidRPr="002E46D9" w:rsidRDefault="00252F43">
            <w:pPr>
              <w:autoSpaceDE w:val="0"/>
              <w:autoSpaceDN w:val="0"/>
              <w:adjustRightInd w:val="0"/>
              <w:spacing w:line="256" w:lineRule="auto"/>
              <w:jc w:val="right"/>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252F43" w:rsidRPr="002E46D9" w:rsidRDefault="00252F43">
            <w:pPr>
              <w:autoSpaceDE w:val="0"/>
              <w:autoSpaceDN w:val="0"/>
              <w:adjustRightInd w:val="0"/>
              <w:spacing w:line="256" w:lineRule="auto"/>
              <w:jc w:val="right"/>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252F43" w:rsidRPr="00870D7F" w:rsidRDefault="00252F43">
            <w:pPr>
              <w:autoSpaceDE w:val="0"/>
              <w:autoSpaceDN w:val="0"/>
              <w:adjustRightInd w:val="0"/>
              <w:spacing w:line="256" w:lineRule="auto"/>
              <w:jc w:val="right"/>
              <w:rPr>
                <w:color w:val="000000"/>
                <w:sz w:val="24"/>
                <w:szCs w:val="24"/>
                <w:lang w:eastAsia="en-US"/>
              </w:rPr>
            </w:pPr>
          </w:p>
        </w:tc>
      </w:tr>
      <w:tr w:rsidR="00252F43" w:rsidRPr="00870D7F" w:rsidTr="00252F43">
        <w:trPr>
          <w:trHeight w:val="70"/>
        </w:trPr>
        <w:tc>
          <w:tcPr>
            <w:tcW w:w="4530" w:type="dxa"/>
            <w:tcBorders>
              <w:top w:val="single" w:sz="4" w:space="0" w:color="auto"/>
              <w:left w:val="single" w:sz="4" w:space="0" w:color="auto"/>
              <w:bottom w:val="single" w:sz="4" w:space="0" w:color="auto"/>
              <w:right w:val="single" w:sz="4" w:space="0" w:color="auto"/>
            </w:tcBorders>
            <w:hideMark/>
          </w:tcPr>
          <w:p w:rsidR="00252F43" w:rsidRPr="002E46D9" w:rsidRDefault="00252F43">
            <w:pPr>
              <w:autoSpaceDE w:val="0"/>
              <w:autoSpaceDN w:val="0"/>
              <w:adjustRightInd w:val="0"/>
              <w:spacing w:line="256" w:lineRule="auto"/>
              <w:rPr>
                <w:color w:val="000000"/>
                <w:lang w:eastAsia="en-US"/>
              </w:rPr>
            </w:pPr>
            <w:r w:rsidRPr="002E46D9">
              <w:rPr>
                <w:color w:val="000000"/>
                <w:lang w:eastAsia="en-US"/>
              </w:rPr>
              <w:t>Indikátor KLM</w:t>
            </w:r>
          </w:p>
        </w:tc>
        <w:tc>
          <w:tcPr>
            <w:tcW w:w="1134" w:type="dxa"/>
            <w:tcBorders>
              <w:top w:val="single" w:sz="4" w:space="0" w:color="auto"/>
              <w:left w:val="single" w:sz="4" w:space="0" w:color="auto"/>
              <w:bottom w:val="single" w:sz="4" w:space="0" w:color="auto"/>
              <w:right w:val="single" w:sz="4" w:space="0" w:color="auto"/>
            </w:tcBorders>
          </w:tcPr>
          <w:p w:rsidR="00252F43" w:rsidRPr="002E46D9" w:rsidRDefault="00252F43">
            <w:pPr>
              <w:autoSpaceDE w:val="0"/>
              <w:autoSpaceDN w:val="0"/>
              <w:adjustRightInd w:val="0"/>
              <w:spacing w:line="256" w:lineRule="auto"/>
              <w:jc w:val="right"/>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252F43" w:rsidRPr="002E46D9" w:rsidRDefault="00252F43">
            <w:pPr>
              <w:autoSpaceDE w:val="0"/>
              <w:autoSpaceDN w:val="0"/>
              <w:adjustRightInd w:val="0"/>
              <w:spacing w:line="256" w:lineRule="auto"/>
              <w:jc w:val="right"/>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252F43" w:rsidRPr="002E46D9" w:rsidRDefault="00252F43">
            <w:pPr>
              <w:autoSpaceDE w:val="0"/>
              <w:autoSpaceDN w:val="0"/>
              <w:adjustRightInd w:val="0"/>
              <w:spacing w:line="256" w:lineRule="auto"/>
              <w:jc w:val="right"/>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252F43" w:rsidRPr="00870D7F" w:rsidRDefault="00252F43">
            <w:pPr>
              <w:autoSpaceDE w:val="0"/>
              <w:autoSpaceDN w:val="0"/>
              <w:adjustRightInd w:val="0"/>
              <w:spacing w:line="256" w:lineRule="auto"/>
              <w:jc w:val="right"/>
              <w:rPr>
                <w:color w:val="000000"/>
                <w:sz w:val="24"/>
                <w:szCs w:val="24"/>
                <w:lang w:eastAsia="en-US"/>
              </w:rPr>
            </w:pPr>
          </w:p>
        </w:tc>
      </w:tr>
      <w:tr w:rsidR="00252F43" w:rsidRPr="00870D7F" w:rsidTr="00252F43">
        <w:trPr>
          <w:trHeight w:val="70"/>
        </w:trPr>
        <w:tc>
          <w:tcPr>
            <w:tcW w:w="4530" w:type="dxa"/>
            <w:tcBorders>
              <w:top w:val="single" w:sz="4" w:space="0" w:color="auto"/>
              <w:left w:val="single" w:sz="4" w:space="0" w:color="auto"/>
              <w:bottom w:val="single" w:sz="4" w:space="0" w:color="auto"/>
              <w:right w:val="single" w:sz="4" w:space="0" w:color="auto"/>
            </w:tcBorders>
            <w:hideMark/>
          </w:tcPr>
          <w:p w:rsidR="00252F43" w:rsidRPr="002E46D9" w:rsidRDefault="00252F43">
            <w:pPr>
              <w:autoSpaceDE w:val="0"/>
              <w:autoSpaceDN w:val="0"/>
              <w:adjustRightInd w:val="0"/>
              <w:spacing w:line="256" w:lineRule="auto"/>
              <w:rPr>
                <w:color w:val="000000"/>
                <w:lang w:eastAsia="en-US"/>
              </w:rPr>
            </w:pPr>
            <w:r w:rsidRPr="002E46D9">
              <w:rPr>
                <w:color w:val="000000"/>
                <w:lang w:eastAsia="en-US"/>
              </w:rPr>
              <w:t>Indikátor XYZ</w:t>
            </w:r>
          </w:p>
        </w:tc>
        <w:tc>
          <w:tcPr>
            <w:tcW w:w="1134" w:type="dxa"/>
            <w:tcBorders>
              <w:top w:val="single" w:sz="4" w:space="0" w:color="auto"/>
              <w:left w:val="single" w:sz="4" w:space="0" w:color="auto"/>
              <w:bottom w:val="single" w:sz="4" w:space="0" w:color="auto"/>
              <w:right w:val="single" w:sz="4" w:space="0" w:color="auto"/>
            </w:tcBorders>
          </w:tcPr>
          <w:p w:rsidR="00252F43" w:rsidRPr="002E46D9" w:rsidRDefault="00252F43">
            <w:pPr>
              <w:autoSpaceDE w:val="0"/>
              <w:autoSpaceDN w:val="0"/>
              <w:adjustRightInd w:val="0"/>
              <w:spacing w:line="256" w:lineRule="auto"/>
              <w:jc w:val="right"/>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252F43" w:rsidRPr="002E46D9" w:rsidRDefault="00252F43">
            <w:pPr>
              <w:autoSpaceDE w:val="0"/>
              <w:autoSpaceDN w:val="0"/>
              <w:adjustRightInd w:val="0"/>
              <w:spacing w:line="256" w:lineRule="auto"/>
              <w:jc w:val="right"/>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252F43" w:rsidRPr="002E46D9" w:rsidRDefault="00252F43">
            <w:pPr>
              <w:autoSpaceDE w:val="0"/>
              <w:autoSpaceDN w:val="0"/>
              <w:adjustRightInd w:val="0"/>
              <w:spacing w:line="256" w:lineRule="auto"/>
              <w:jc w:val="right"/>
              <w:rPr>
                <w:color w:val="000000"/>
                <w:lang w:eastAsia="en-US"/>
              </w:rPr>
            </w:pPr>
          </w:p>
        </w:tc>
        <w:tc>
          <w:tcPr>
            <w:tcW w:w="1134" w:type="dxa"/>
            <w:tcBorders>
              <w:top w:val="single" w:sz="4" w:space="0" w:color="auto"/>
              <w:left w:val="single" w:sz="4" w:space="0" w:color="auto"/>
              <w:bottom w:val="single" w:sz="4" w:space="0" w:color="auto"/>
              <w:right w:val="single" w:sz="4" w:space="0" w:color="auto"/>
            </w:tcBorders>
          </w:tcPr>
          <w:p w:rsidR="00252F43" w:rsidRPr="00870D7F" w:rsidRDefault="00252F43">
            <w:pPr>
              <w:autoSpaceDE w:val="0"/>
              <w:autoSpaceDN w:val="0"/>
              <w:adjustRightInd w:val="0"/>
              <w:spacing w:line="256" w:lineRule="auto"/>
              <w:jc w:val="right"/>
              <w:rPr>
                <w:color w:val="000000"/>
                <w:sz w:val="24"/>
                <w:szCs w:val="24"/>
                <w:lang w:eastAsia="en-US"/>
              </w:rPr>
            </w:pPr>
          </w:p>
        </w:tc>
      </w:tr>
    </w:tbl>
    <w:p w:rsidR="00252F43" w:rsidRPr="00870D7F" w:rsidRDefault="00252F43" w:rsidP="00252F43">
      <w:pPr>
        <w:rPr>
          <w:sz w:val="24"/>
          <w:szCs w:val="24"/>
        </w:rPr>
      </w:pPr>
    </w:p>
    <w:p w:rsidR="00252F43" w:rsidRPr="00870D7F" w:rsidRDefault="00252F43" w:rsidP="00252F43">
      <w:pPr>
        <w:rPr>
          <w:b/>
          <w:bCs/>
          <w:sz w:val="24"/>
          <w:szCs w:val="24"/>
        </w:rPr>
      </w:pPr>
      <w:r w:rsidRPr="00870D7F">
        <w:rPr>
          <w:b/>
          <w:bCs/>
          <w:sz w:val="24"/>
          <w:szCs w:val="24"/>
        </w:rPr>
        <w:t>2.2.4. Výpočty vplyvov na verejné financie</w:t>
      </w:r>
    </w:p>
    <w:p w:rsidR="00252F43" w:rsidRPr="00870D7F" w:rsidRDefault="00252F43" w:rsidP="00252F43">
      <w:pPr>
        <w:rPr>
          <w:sz w:val="24"/>
          <w:szCs w:val="24"/>
        </w:rPr>
      </w:pPr>
    </w:p>
    <w:p w:rsidR="00252F43" w:rsidRDefault="009F7D56" w:rsidP="009F7D56">
      <w:pPr>
        <w:widowControl w:val="0"/>
        <w:spacing w:before="120" w:after="60" w:line="264" w:lineRule="auto"/>
        <w:jc w:val="both"/>
      </w:pPr>
      <w:r>
        <w:t xml:space="preserve">     </w:t>
      </w:r>
      <w:r w:rsidR="00252F43" w:rsidRPr="00EA30E1">
        <w:t xml:space="preserve">Predkladaný návrh zákona o kybernetickej bezpečnosti úzko súvisí s realizáciou projektov v oblasti informatizácie spoločnosti, so vzdelávaním, zvyšovaním povedomia a budovaním odborných spôsobilostí v oblasti informačnej a kybernetickej bezpečnosti. Jeho obsahová časť je prioritne zameraná na vytváranie podmienok pre ochranu dôležitých aktív štátu proti narušeniu a zneužitiu, a to povinnosťou </w:t>
      </w:r>
      <w:r w:rsidR="00252F43" w:rsidRPr="00EA30E1">
        <w:rPr>
          <w:color w:val="000000"/>
          <w:lang w:eastAsia="cs-CZ"/>
        </w:rPr>
        <w:t xml:space="preserve">zabezpečiť v priestore pôsobnosti povinných osôb nástroje na rozpoznanie, neustálym monitorovaním a riadením kybernetických bezpečnostných incidentov, implementáciou bezpečnostných opatrení a európskej stratégie pre kybernetickú bezpečnosť. </w:t>
      </w:r>
      <w:r w:rsidR="00252F43" w:rsidRPr="00EA30E1">
        <w:t>Na základe toho bude mať prijatie návrhu zákona finančný dosah na verejné financie formou vstupných nárokov na výdavky rozpočtu verejnej správy. Rovnako bude mať vplyv aj formou udržiavacích nákladov na bezpečnú prevádzku jednotlivých elektronických služieb verejnej sprá</w:t>
      </w:r>
      <w:r w:rsidR="00440041">
        <w:t>vy.</w:t>
      </w:r>
    </w:p>
    <w:p w:rsidR="009F7D56" w:rsidRDefault="009F7D56" w:rsidP="009F7D56">
      <w:pPr>
        <w:widowControl w:val="0"/>
        <w:jc w:val="both"/>
        <w:rPr>
          <w:lang w:eastAsia="cs-CZ"/>
        </w:rPr>
      </w:pPr>
      <w:r>
        <w:rPr>
          <w:lang w:eastAsia="cs-CZ"/>
        </w:rPr>
        <w:t xml:space="preserve">     </w:t>
      </w:r>
    </w:p>
    <w:p w:rsidR="002E46D9" w:rsidRDefault="009F7D56" w:rsidP="009F7D56">
      <w:pPr>
        <w:widowControl w:val="0"/>
        <w:jc w:val="both"/>
        <w:rPr>
          <w:lang w:eastAsia="cs-CZ"/>
        </w:rPr>
      </w:pPr>
      <w:r>
        <w:rPr>
          <w:lang w:eastAsia="cs-CZ"/>
        </w:rPr>
        <w:t xml:space="preserve">     </w:t>
      </w:r>
      <w:r w:rsidR="002E46D9">
        <w:rPr>
          <w:lang w:eastAsia="cs-CZ"/>
        </w:rPr>
        <w:t>Pozitívny vplyv na príjmovú časť verejných financií bude mať výber pokút podľa sadzieb stanovených zákonom. Vplyv na rozpočet verejnej správy nie je možné vyčísliť z dôvodu nemožnosti určenia presného počtu kontrol, ktoré budú vykonané v jednotlivých kalendárnych rokoch. Kontrolná činnosť v príslušnom kalendárom roku vychádza predovšetkým z ročného plánu kontrol, pri spracovávaní ktorého budú využívané poznatky z konkrétneho vývoja v oblasti kybernetickej bezpečnosti v Slovenskej republike.</w:t>
      </w:r>
    </w:p>
    <w:p w:rsidR="009F7D56" w:rsidRDefault="009F7D56" w:rsidP="009F7D56">
      <w:pPr>
        <w:widowControl w:val="0"/>
        <w:jc w:val="both"/>
        <w:rPr>
          <w:lang w:eastAsia="cs-CZ"/>
        </w:rPr>
      </w:pPr>
    </w:p>
    <w:p w:rsidR="00440041" w:rsidRDefault="009F7D56" w:rsidP="009F7D56">
      <w:pPr>
        <w:widowControl w:val="0"/>
        <w:jc w:val="both"/>
        <w:rPr>
          <w:lang w:eastAsia="cs-CZ"/>
        </w:rPr>
      </w:pPr>
      <w:r>
        <w:rPr>
          <w:lang w:eastAsia="cs-CZ"/>
        </w:rPr>
        <w:t xml:space="preserve">    </w:t>
      </w:r>
    </w:p>
    <w:p w:rsidR="002E46D9" w:rsidRDefault="00440041" w:rsidP="009F7D56">
      <w:pPr>
        <w:widowControl w:val="0"/>
        <w:jc w:val="both"/>
        <w:rPr>
          <w:lang w:eastAsia="cs-CZ"/>
        </w:rPr>
      </w:pPr>
      <w:r>
        <w:rPr>
          <w:lang w:eastAsia="cs-CZ"/>
        </w:rPr>
        <w:t xml:space="preserve">     </w:t>
      </w:r>
      <w:r w:rsidR="002E46D9">
        <w:rPr>
          <w:lang w:eastAsia="cs-CZ"/>
        </w:rPr>
        <w:t xml:space="preserve">Prípadný pozitívny vplyv na príjmovú časť verejných financií bude mať tiež výber správnych poplatkov za konanie o akreditácii jednotky CSIRT (navrhovaný správny poplatok vo výške 1 500 eur) </w:t>
      </w:r>
    </w:p>
    <w:p w:rsidR="009F7D56" w:rsidRDefault="009F7D56" w:rsidP="009F7D56">
      <w:pPr>
        <w:widowControl w:val="0"/>
        <w:jc w:val="both"/>
        <w:rPr>
          <w:lang w:eastAsia="cs-CZ"/>
        </w:rPr>
      </w:pPr>
    </w:p>
    <w:p w:rsidR="00D60196" w:rsidRPr="00544E38" w:rsidRDefault="009F7D56" w:rsidP="00D60196">
      <w:pPr>
        <w:jc w:val="both"/>
      </w:pPr>
      <w:r>
        <w:rPr>
          <w:lang w:eastAsia="cs-CZ"/>
        </w:rPr>
        <w:t xml:space="preserve">     </w:t>
      </w:r>
      <w:r w:rsidR="002E46D9">
        <w:rPr>
          <w:lang w:eastAsia="cs-CZ"/>
        </w:rPr>
        <w:t>Nakoľko ide o inštitúty v zmysle novo navrhovanej právnej úpravy nie je v súčasnosti možné konkrétne vyčísliť výšku  predpokladaného pozitívneho vplyvu na p</w:t>
      </w:r>
      <w:r w:rsidR="00D60196">
        <w:rPr>
          <w:lang w:eastAsia="cs-CZ"/>
        </w:rPr>
        <w:t>ríjmovú časť verejných financií</w:t>
      </w:r>
      <w:r w:rsidR="00D60196" w:rsidRPr="00870D7F">
        <w:rPr>
          <w:b/>
        </w:rPr>
        <w:t xml:space="preserve">, </w:t>
      </w:r>
      <w:r w:rsidR="00D60196" w:rsidRPr="00544E38">
        <w:t>aj keď v budúcnosti by mohl</w:t>
      </w:r>
      <w:r w:rsidR="00544E38">
        <w:t xml:space="preserve">a nastať </w:t>
      </w:r>
      <w:r w:rsidR="00D60196" w:rsidRPr="00544E38">
        <w:t>za predpokladu, že nedôjde k narušeniu kybernetickej bezpečnosti.</w:t>
      </w:r>
    </w:p>
    <w:p w:rsidR="002E46D9" w:rsidRDefault="002E46D9" w:rsidP="009F7D56">
      <w:pPr>
        <w:widowControl w:val="0"/>
        <w:jc w:val="both"/>
        <w:rPr>
          <w:lang w:eastAsia="cs-CZ"/>
        </w:rPr>
      </w:pPr>
    </w:p>
    <w:p w:rsidR="002E46D9" w:rsidRDefault="009F7D56" w:rsidP="009F7D56">
      <w:pPr>
        <w:widowControl w:val="0"/>
        <w:jc w:val="both"/>
        <w:rPr>
          <w:lang w:eastAsia="cs-CZ"/>
        </w:rPr>
      </w:pPr>
      <w:r>
        <w:rPr>
          <w:lang w:eastAsia="cs-CZ"/>
        </w:rPr>
        <w:t xml:space="preserve">     </w:t>
      </w:r>
      <w:r w:rsidR="002E46D9">
        <w:rPr>
          <w:lang w:eastAsia="cs-CZ"/>
        </w:rPr>
        <w:t>Negatívne finančné dopady má návrh zákona na rozpočet Národného bezpečnostného úradu, ktorý bude v oblasti kybernetickej bezpečnosti plniť úplne nové úlohy na ktoré nemá zabezpečené finančné prostriedky ani personálne kapacity. Jedná sa hlavne o nasledovné úlohy:</w:t>
      </w:r>
    </w:p>
    <w:p w:rsidR="002E46D9" w:rsidRDefault="002E46D9" w:rsidP="009F7D56">
      <w:pPr>
        <w:widowControl w:val="0"/>
        <w:ind w:left="709" w:hanging="283"/>
        <w:jc w:val="both"/>
        <w:rPr>
          <w:lang w:eastAsia="cs-CZ"/>
        </w:rPr>
      </w:pPr>
      <w:r>
        <w:rPr>
          <w:lang w:eastAsia="cs-CZ"/>
        </w:rPr>
        <w:t>a)</w:t>
      </w:r>
      <w:r>
        <w:rPr>
          <w:lang w:eastAsia="cs-CZ"/>
        </w:rPr>
        <w:tab/>
        <w:t>riadi a koordinuje výkon štátnej správy,</w:t>
      </w:r>
    </w:p>
    <w:p w:rsidR="002E46D9" w:rsidRDefault="002E46D9" w:rsidP="009F7D56">
      <w:pPr>
        <w:widowControl w:val="0"/>
        <w:ind w:left="709" w:hanging="283"/>
        <w:jc w:val="both"/>
        <w:rPr>
          <w:lang w:eastAsia="cs-CZ"/>
        </w:rPr>
      </w:pPr>
      <w:r>
        <w:rPr>
          <w:lang w:eastAsia="cs-CZ"/>
        </w:rPr>
        <w:t>b)</w:t>
      </w:r>
      <w:r>
        <w:rPr>
          <w:lang w:eastAsia="cs-CZ"/>
        </w:rPr>
        <w:tab/>
        <w:t>určuje štandardy, operačné postupy, vydáva záväzné metodiky a politiku správania sa v kybernetickom priestore,</w:t>
      </w:r>
    </w:p>
    <w:p w:rsidR="002E46D9" w:rsidRDefault="002E46D9" w:rsidP="009F7D56">
      <w:pPr>
        <w:widowControl w:val="0"/>
        <w:ind w:left="709" w:hanging="283"/>
        <w:jc w:val="both"/>
        <w:rPr>
          <w:lang w:eastAsia="cs-CZ"/>
        </w:rPr>
      </w:pPr>
      <w:r>
        <w:rPr>
          <w:lang w:eastAsia="cs-CZ"/>
        </w:rPr>
        <w:t>c)</w:t>
      </w:r>
      <w:r>
        <w:rPr>
          <w:lang w:eastAsia="cs-CZ"/>
        </w:rPr>
        <w:tab/>
        <w:t xml:space="preserve">určuje zásady predchádzania kybernetickým bezpečnostným incidentom a zásady riešenia kybernetických bezpečnostných incidentov, </w:t>
      </w:r>
    </w:p>
    <w:p w:rsidR="002E46D9" w:rsidRDefault="002E46D9" w:rsidP="009F7D56">
      <w:pPr>
        <w:widowControl w:val="0"/>
        <w:ind w:left="709" w:hanging="283"/>
        <w:jc w:val="both"/>
        <w:rPr>
          <w:lang w:eastAsia="cs-CZ"/>
        </w:rPr>
      </w:pPr>
      <w:r>
        <w:rPr>
          <w:lang w:eastAsia="cs-CZ"/>
        </w:rPr>
        <w:t>d)</w:t>
      </w:r>
      <w:r>
        <w:rPr>
          <w:lang w:eastAsia="cs-CZ"/>
        </w:rPr>
        <w:tab/>
        <w:t>vypracúva národnú stratégiu kybernetickej bezpečnosti a ročnú správu o stave kybernetickej bezpečnosti v Slovenskej republike v spolupráci s príslušnými štátnymi orgánmi,</w:t>
      </w:r>
    </w:p>
    <w:p w:rsidR="002E46D9" w:rsidRDefault="002E46D9" w:rsidP="009F7D56">
      <w:pPr>
        <w:widowControl w:val="0"/>
        <w:ind w:left="709" w:hanging="283"/>
        <w:jc w:val="both"/>
        <w:rPr>
          <w:lang w:eastAsia="cs-CZ"/>
        </w:rPr>
      </w:pPr>
      <w:r>
        <w:rPr>
          <w:lang w:eastAsia="cs-CZ"/>
        </w:rPr>
        <w:t>e)</w:t>
      </w:r>
      <w:r>
        <w:rPr>
          <w:lang w:eastAsia="cs-CZ"/>
        </w:rPr>
        <w:tab/>
        <w:t>je národným kontaktným miestom pre kybernetickú bezpečnosť pre zahraničie a zabezpečuje spoluprácu s jednotnými kontaktnými miestami iných členských štátov Európskej únie a Organizácie severoatlantickej zmluvy,</w:t>
      </w:r>
    </w:p>
    <w:p w:rsidR="002E46D9" w:rsidRDefault="002E46D9" w:rsidP="009F7D56">
      <w:pPr>
        <w:widowControl w:val="0"/>
        <w:ind w:left="709" w:hanging="283"/>
        <w:jc w:val="both"/>
        <w:rPr>
          <w:lang w:eastAsia="cs-CZ"/>
        </w:rPr>
      </w:pPr>
      <w:r>
        <w:rPr>
          <w:lang w:eastAsia="cs-CZ"/>
        </w:rPr>
        <w:lastRenderedPageBreak/>
        <w:t>f)</w:t>
      </w:r>
      <w:r>
        <w:rPr>
          <w:lang w:eastAsia="cs-CZ"/>
        </w:rPr>
        <w:tab/>
        <w:t>plní notifikačné a reportingové povinnosti voči príslušným orgánom Európskej únie a Organizácie severoatlantickej zmluvy a podieľa sa a podporuje vytváranie partnerstiev na národnej a medzinárodnej úrovni v oblasti kybernetickej bezpečnosti,</w:t>
      </w:r>
    </w:p>
    <w:p w:rsidR="002E46D9" w:rsidRDefault="002E46D9" w:rsidP="009F7D56">
      <w:pPr>
        <w:widowControl w:val="0"/>
        <w:ind w:left="709" w:hanging="283"/>
        <w:jc w:val="both"/>
        <w:rPr>
          <w:lang w:eastAsia="cs-CZ"/>
        </w:rPr>
      </w:pPr>
      <w:r>
        <w:rPr>
          <w:lang w:eastAsia="cs-CZ"/>
        </w:rPr>
        <w:t>g)</w:t>
      </w:r>
      <w:r>
        <w:rPr>
          <w:lang w:eastAsia="cs-CZ"/>
        </w:rPr>
        <w:tab/>
        <w:t>zabezpečuje členstvo Slovenskej republiky v skupine pre spoluprácu a v sieti jednotiek CSIRT,</w:t>
      </w:r>
    </w:p>
    <w:p w:rsidR="002E46D9" w:rsidRDefault="002E46D9" w:rsidP="009F7D56">
      <w:pPr>
        <w:widowControl w:val="0"/>
        <w:ind w:left="709" w:hanging="283"/>
        <w:jc w:val="both"/>
        <w:rPr>
          <w:lang w:eastAsia="cs-CZ"/>
        </w:rPr>
      </w:pPr>
      <w:r>
        <w:rPr>
          <w:lang w:eastAsia="cs-CZ"/>
        </w:rPr>
        <w:t>h)</w:t>
      </w:r>
      <w:r>
        <w:rPr>
          <w:lang w:eastAsia="cs-CZ"/>
        </w:rPr>
        <w:tab/>
        <w:t>v spolupráci s Ministerstvom zahraničných vecí a európskych záležitostí Slovenskej republiky rozvíja medzinárodnú spoluprácu a sleduje dopady aktivít v oblasti kybernetickej bezpečnosti na zahraničnopolitické záujmy Slovenskej republiky a partnerov v rámci Európskej únie a Organizácie severoatlantickej zmluvy,</w:t>
      </w:r>
    </w:p>
    <w:p w:rsidR="002E46D9" w:rsidRDefault="002E46D9" w:rsidP="009F7D56">
      <w:pPr>
        <w:widowControl w:val="0"/>
        <w:ind w:left="709" w:hanging="283"/>
        <w:jc w:val="both"/>
        <w:rPr>
          <w:lang w:eastAsia="cs-CZ"/>
        </w:rPr>
      </w:pPr>
      <w:r>
        <w:rPr>
          <w:lang w:eastAsia="cs-CZ"/>
        </w:rPr>
        <w:t>i)</w:t>
      </w:r>
      <w:r>
        <w:rPr>
          <w:lang w:eastAsia="cs-CZ"/>
        </w:rPr>
        <w:tab/>
        <w:t>spolupracuje s ústrednými orgánmi a jednotkami CSIRT, prevádzkovateľmi základných služieb a poskytovateľmi digitálnych služieb pri plnení úloh podľa tohto zákona,</w:t>
      </w:r>
    </w:p>
    <w:p w:rsidR="002E46D9" w:rsidRDefault="002E46D9" w:rsidP="009F7D56">
      <w:pPr>
        <w:widowControl w:val="0"/>
        <w:ind w:left="709" w:hanging="283"/>
        <w:jc w:val="both"/>
        <w:rPr>
          <w:lang w:eastAsia="cs-CZ"/>
        </w:rPr>
      </w:pPr>
      <w:r>
        <w:rPr>
          <w:lang w:eastAsia="cs-CZ"/>
        </w:rPr>
        <w:t>j)</w:t>
      </w:r>
      <w:r>
        <w:rPr>
          <w:lang w:eastAsia="cs-CZ"/>
        </w:rPr>
        <w:tab/>
        <w:t>spravuje a prevádzkuje jednotný informačný systém kybernetickej bezpečnosti,</w:t>
      </w:r>
    </w:p>
    <w:p w:rsidR="002E46D9" w:rsidRDefault="002E46D9" w:rsidP="009F7D56">
      <w:pPr>
        <w:widowControl w:val="0"/>
        <w:ind w:left="709" w:hanging="283"/>
        <w:jc w:val="both"/>
        <w:rPr>
          <w:lang w:eastAsia="cs-CZ"/>
        </w:rPr>
      </w:pPr>
      <w:r>
        <w:rPr>
          <w:lang w:eastAsia="cs-CZ"/>
        </w:rPr>
        <w:t>k)</w:t>
      </w:r>
      <w:r>
        <w:rPr>
          <w:lang w:eastAsia="cs-CZ"/>
        </w:rPr>
        <w:tab/>
        <w:t xml:space="preserve">na základe oznámenia ústredného orgánu, prevádzkovateľa základnej služby, poskytovateľa digitálnej služby, alebo z vlastnej iniciatívy určuje </w:t>
      </w:r>
    </w:p>
    <w:p w:rsidR="002E46D9" w:rsidRDefault="002E46D9" w:rsidP="009F7D56">
      <w:pPr>
        <w:widowControl w:val="0"/>
        <w:ind w:left="709" w:hanging="283"/>
        <w:jc w:val="both"/>
        <w:rPr>
          <w:lang w:eastAsia="cs-CZ"/>
        </w:rPr>
      </w:pPr>
      <w:r>
        <w:rPr>
          <w:lang w:eastAsia="cs-CZ"/>
        </w:rPr>
        <w:t>1.   základnú službu a zaraďuje ju do zoznamu základných služieb,</w:t>
      </w:r>
    </w:p>
    <w:p w:rsidR="002E46D9" w:rsidRDefault="002E46D9" w:rsidP="009F7D56">
      <w:pPr>
        <w:widowControl w:val="0"/>
        <w:ind w:left="709" w:hanging="283"/>
        <w:jc w:val="both"/>
        <w:rPr>
          <w:lang w:eastAsia="cs-CZ"/>
        </w:rPr>
      </w:pPr>
      <w:r>
        <w:rPr>
          <w:lang w:eastAsia="cs-CZ"/>
        </w:rPr>
        <w:t>2.</w:t>
      </w:r>
      <w:r>
        <w:rPr>
          <w:lang w:eastAsia="cs-CZ"/>
        </w:rPr>
        <w:tab/>
        <w:t>digitálnu službu a zaraďuje ju do zoznamu digitálnych služieb,</w:t>
      </w:r>
    </w:p>
    <w:p w:rsidR="002E46D9" w:rsidRDefault="002E46D9" w:rsidP="009F7D56">
      <w:pPr>
        <w:widowControl w:val="0"/>
        <w:ind w:left="709" w:hanging="283"/>
        <w:jc w:val="both"/>
        <w:rPr>
          <w:lang w:eastAsia="cs-CZ"/>
        </w:rPr>
      </w:pPr>
      <w:r>
        <w:rPr>
          <w:lang w:eastAsia="cs-CZ"/>
        </w:rPr>
        <w:t>3.</w:t>
      </w:r>
      <w:r>
        <w:rPr>
          <w:lang w:eastAsia="cs-CZ"/>
        </w:rPr>
        <w:tab/>
        <w:t>poskytovateľa digitálnej služby a zaraďuje ho do registra poskytovateľov digitálnych služieb,</w:t>
      </w:r>
    </w:p>
    <w:p w:rsidR="002E46D9" w:rsidRDefault="002E46D9" w:rsidP="009F7D56">
      <w:pPr>
        <w:widowControl w:val="0"/>
        <w:ind w:left="709" w:hanging="283"/>
        <w:jc w:val="both"/>
        <w:rPr>
          <w:lang w:eastAsia="cs-CZ"/>
        </w:rPr>
      </w:pPr>
      <w:r>
        <w:rPr>
          <w:lang w:eastAsia="cs-CZ"/>
        </w:rPr>
        <w:t>4.</w:t>
      </w:r>
      <w:r>
        <w:rPr>
          <w:lang w:eastAsia="cs-CZ"/>
        </w:rPr>
        <w:tab/>
        <w:t>prevádzkovateľa základnej služby a zaraďuje ho do registra prevádzkovateľov základných služieb,</w:t>
      </w:r>
    </w:p>
    <w:p w:rsidR="002E46D9" w:rsidRDefault="002E46D9" w:rsidP="009F7D56">
      <w:pPr>
        <w:widowControl w:val="0"/>
        <w:ind w:left="709" w:hanging="283"/>
        <w:jc w:val="both"/>
        <w:rPr>
          <w:lang w:eastAsia="cs-CZ"/>
        </w:rPr>
      </w:pPr>
      <w:r>
        <w:rPr>
          <w:lang w:eastAsia="cs-CZ"/>
        </w:rPr>
        <w:t>l)</w:t>
      </w:r>
      <w:r>
        <w:rPr>
          <w:lang w:eastAsia="cs-CZ"/>
        </w:rPr>
        <w:tab/>
        <w:t>vedie a spravuje</w:t>
      </w:r>
    </w:p>
    <w:p w:rsidR="002E46D9" w:rsidRDefault="002E46D9" w:rsidP="009F7D56">
      <w:pPr>
        <w:widowControl w:val="0"/>
        <w:ind w:left="709" w:hanging="283"/>
        <w:jc w:val="both"/>
        <w:rPr>
          <w:lang w:eastAsia="cs-CZ"/>
        </w:rPr>
      </w:pPr>
      <w:r>
        <w:rPr>
          <w:lang w:eastAsia="cs-CZ"/>
        </w:rPr>
        <w:t>1.</w:t>
      </w:r>
      <w:r>
        <w:rPr>
          <w:lang w:eastAsia="cs-CZ"/>
        </w:rPr>
        <w:tab/>
        <w:t xml:space="preserve">register prevádzkovateľov základných služieb, </w:t>
      </w:r>
    </w:p>
    <w:p w:rsidR="002E46D9" w:rsidRDefault="002E46D9" w:rsidP="009F7D56">
      <w:pPr>
        <w:widowControl w:val="0"/>
        <w:ind w:left="709" w:hanging="283"/>
        <w:jc w:val="both"/>
        <w:rPr>
          <w:lang w:eastAsia="cs-CZ"/>
        </w:rPr>
      </w:pPr>
      <w:r>
        <w:rPr>
          <w:lang w:eastAsia="cs-CZ"/>
        </w:rPr>
        <w:t>2.</w:t>
      </w:r>
      <w:r>
        <w:rPr>
          <w:lang w:eastAsia="cs-CZ"/>
        </w:rPr>
        <w:tab/>
        <w:t>register poskytovateľov digitálnych služieb a zoznam digitálnych služieb,</w:t>
      </w:r>
    </w:p>
    <w:p w:rsidR="002E46D9" w:rsidRDefault="002E46D9" w:rsidP="009F7D56">
      <w:pPr>
        <w:widowControl w:val="0"/>
        <w:ind w:left="709" w:hanging="283"/>
        <w:jc w:val="both"/>
        <w:rPr>
          <w:lang w:eastAsia="cs-CZ"/>
        </w:rPr>
      </w:pPr>
      <w:r>
        <w:rPr>
          <w:lang w:eastAsia="cs-CZ"/>
        </w:rPr>
        <w:t>3.</w:t>
      </w:r>
      <w:r>
        <w:rPr>
          <w:lang w:eastAsia="cs-CZ"/>
        </w:rPr>
        <w:tab/>
        <w:t>zoznam základných služieb,</w:t>
      </w:r>
    </w:p>
    <w:p w:rsidR="002E46D9" w:rsidRDefault="002E46D9" w:rsidP="009F7D56">
      <w:pPr>
        <w:widowControl w:val="0"/>
        <w:ind w:left="709" w:hanging="283"/>
        <w:jc w:val="both"/>
        <w:rPr>
          <w:lang w:eastAsia="cs-CZ"/>
        </w:rPr>
      </w:pPr>
      <w:r>
        <w:rPr>
          <w:lang w:eastAsia="cs-CZ"/>
        </w:rPr>
        <w:t>4.</w:t>
      </w:r>
      <w:r>
        <w:rPr>
          <w:lang w:eastAsia="cs-CZ"/>
        </w:rPr>
        <w:tab/>
        <w:t>zoznam akreditovaných jednotiek CSIRT,</w:t>
      </w:r>
    </w:p>
    <w:p w:rsidR="002E46D9" w:rsidRDefault="002E46D9" w:rsidP="009F7D56">
      <w:pPr>
        <w:widowControl w:val="0"/>
        <w:ind w:left="709" w:hanging="283"/>
        <w:jc w:val="both"/>
        <w:rPr>
          <w:lang w:eastAsia="cs-CZ"/>
        </w:rPr>
      </w:pPr>
      <w:r>
        <w:rPr>
          <w:lang w:eastAsia="cs-CZ"/>
        </w:rPr>
        <w:t>m)</w:t>
      </w:r>
      <w:r>
        <w:rPr>
          <w:lang w:eastAsia="cs-CZ"/>
        </w:rPr>
        <w:tab/>
        <w:t>systematicky získava, sústreďuje, analyzuje a vyhodnocuje informácie o stave kybernetickej bezpečnosti v Slovenskej republike,</w:t>
      </w:r>
    </w:p>
    <w:p w:rsidR="002E46D9" w:rsidRDefault="002E46D9" w:rsidP="009F7D56">
      <w:pPr>
        <w:widowControl w:val="0"/>
        <w:ind w:left="709" w:hanging="283"/>
        <w:jc w:val="both"/>
        <w:rPr>
          <w:lang w:eastAsia="cs-CZ"/>
        </w:rPr>
      </w:pPr>
      <w:r>
        <w:rPr>
          <w:lang w:eastAsia="cs-CZ"/>
        </w:rPr>
        <w:t>n)</w:t>
      </w:r>
      <w:r>
        <w:rPr>
          <w:lang w:eastAsia="cs-CZ"/>
        </w:rPr>
        <w:tab/>
        <w:t>akredituje jednotky CSIRT, okrem Národnej jednotky CSIRT a vládnej jednotky CSIRT a zaraďuje ich do zoznamu akreditovaných jednotiek CSIRT,</w:t>
      </w:r>
    </w:p>
    <w:p w:rsidR="002E46D9" w:rsidRDefault="002E46D9" w:rsidP="009F7D56">
      <w:pPr>
        <w:widowControl w:val="0"/>
        <w:ind w:left="709" w:hanging="283"/>
        <w:jc w:val="both"/>
        <w:rPr>
          <w:lang w:eastAsia="cs-CZ"/>
        </w:rPr>
      </w:pPr>
      <w:r>
        <w:rPr>
          <w:lang w:eastAsia="cs-CZ"/>
        </w:rPr>
        <w:t>o)</w:t>
      </w:r>
      <w:r>
        <w:rPr>
          <w:lang w:eastAsia="cs-CZ"/>
        </w:rPr>
        <w:tab/>
        <w:t>plní úlohy príslušného orgánu pre digitálne služby,</w:t>
      </w:r>
    </w:p>
    <w:p w:rsidR="002E46D9" w:rsidRDefault="002E46D9" w:rsidP="009F7D56">
      <w:pPr>
        <w:widowControl w:val="0"/>
        <w:ind w:left="709" w:hanging="283"/>
        <w:jc w:val="both"/>
        <w:rPr>
          <w:lang w:eastAsia="cs-CZ"/>
        </w:rPr>
      </w:pPr>
      <w:r>
        <w:rPr>
          <w:lang w:eastAsia="cs-CZ"/>
        </w:rPr>
        <w:t>p)</w:t>
      </w:r>
      <w:r>
        <w:rPr>
          <w:lang w:eastAsia="cs-CZ"/>
        </w:rPr>
        <w:tab/>
        <w:t>zabezpečuje a zodpovedá za koordinované riešenie kybernetických bezpečnostných incidentov na národnej úrovni,</w:t>
      </w:r>
    </w:p>
    <w:p w:rsidR="002E46D9" w:rsidRDefault="002E46D9" w:rsidP="009F7D56">
      <w:pPr>
        <w:widowControl w:val="0"/>
        <w:ind w:left="709" w:hanging="283"/>
        <w:jc w:val="both"/>
        <w:rPr>
          <w:lang w:eastAsia="cs-CZ"/>
        </w:rPr>
      </w:pPr>
      <w:r>
        <w:rPr>
          <w:lang w:eastAsia="cs-CZ"/>
        </w:rPr>
        <w:t>q)</w:t>
      </w:r>
      <w:r>
        <w:rPr>
          <w:lang w:eastAsia="cs-CZ"/>
        </w:rPr>
        <w:tab/>
        <w:t>rieši kybernetické bezpečnostné incidenty, vyhlasuje výstrahu a varovania pred závažným kybernetickým bezpečnostným incidentom, ukladá povinnosť vykonať reaktívne opatrenie a schvaľuje ochranné opatrenie,</w:t>
      </w:r>
    </w:p>
    <w:p w:rsidR="002E46D9" w:rsidRDefault="002E46D9" w:rsidP="009F7D56">
      <w:pPr>
        <w:widowControl w:val="0"/>
        <w:ind w:left="709" w:hanging="283"/>
        <w:jc w:val="both"/>
        <w:rPr>
          <w:lang w:eastAsia="cs-CZ"/>
        </w:rPr>
      </w:pPr>
      <w:r>
        <w:rPr>
          <w:lang w:eastAsia="cs-CZ"/>
        </w:rPr>
        <w:t>r)</w:t>
      </w:r>
      <w:r>
        <w:rPr>
          <w:lang w:eastAsia="cs-CZ"/>
        </w:rPr>
        <w:tab/>
        <w:t>zasiela včasné varovania,</w:t>
      </w:r>
    </w:p>
    <w:p w:rsidR="002E46D9" w:rsidRDefault="002E46D9" w:rsidP="009F7D56">
      <w:pPr>
        <w:widowControl w:val="0"/>
        <w:ind w:left="709" w:hanging="283"/>
        <w:jc w:val="both"/>
        <w:rPr>
          <w:lang w:eastAsia="cs-CZ"/>
        </w:rPr>
      </w:pPr>
      <w:r>
        <w:rPr>
          <w:lang w:eastAsia="cs-CZ"/>
        </w:rPr>
        <w:t>s)</w:t>
      </w:r>
      <w:r>
        <w:rPr>
          <w:lang w:eastAsia="cs-CZ"/>
        </w:rPr>
        <w:tab/>
        <w:t>prijíma vnútroštátne hlásenia o kybernetických bezpečnostných incidentoch,</w:t>
      </w:r>
    </w:p>
    <w:p w:rsidR="002E46D9" w:rsidRDefault="002E46D9" w:rsidP="009F7D56">
      <w:pPr>
        <w:widowControl w:val="0"/>
        <w:ind w:left="709" w:hanging="283"/>
        <w:jc w:val="both"/>
        <w:rPr>
          <w:lang w:eastAsia="cs-CZ"/>
        </w:rPr>
      </w:pPr>
      <w:r>
        <w:rPr>
          <w:lang w:eastAsia="cs-CZ"/>
        </w:rPr>
        <w:t>t)</w:t>
      </w:r>
      <w:r>
        <w:rPr>
          <w:lang w:eastAsia="cs-CZ"/>
        </w:rPr>
        <w:tab/>
        <w:t>prijíma hlásenia o kybernetických bezpečnostných incidentoch zo zahraničia a zabezpečuje spoluprácu s medzinárodnými organizáciami a orgánmi iných štátov pri riešení kybernetických bezpečnostných incidentov s cezhraničným charakterom,</w:t>
      </w:r>
    </w:p>
    <w:p w:rsidR="002E46D9" w:rsidRDefault="002E46D9" w:rsidP="009F7D56">
      <w:pPr>
        <w:widowControl w:val="0"/>
        <w:ind w:left="709" w:hanging="283"/>
        <w:jc w:val="both"/>
        <w:rPr>
          <w:lang w:eastAsia="cs-CZ"/>
        </w:rPr>
      </w:pPr>
      <w:r>
        <w:rPr>
          <w:lang w:eastAsia="cs-CZ"/>
        </w:rPr>
        <w:t>u)</w:t>
      </w:r>
      <w:r>
        <w:rPr>
          <w:lang w:eastAsia="cs-CZ"/>
        </w:rPr>
        <w:tab/>
        <w:t xml:space="preserve">vykonáva kontrolu, vydáva rozhodnutia o uložení opatrení na nápravu a ukladá pokutu za priestupok alebo iný správny delikt, </w:t>
      </w:r>
    </w:p>
    <w:p w:rsidR="002E46D9" w:rsidRDefault="002E46D9" w:rsidP="009F7D56">
      <w:pPr>
        <w:widowControl w:val="0"/>
        <w:ind w:left="709" w:hanging="283"/>
        <w:jc w:val="both"/>
        <w:rPr>
          <w:lang w:eastAsia="cs-CZ"/>
        </w:rPr>
      </w:pPr>
      <w:r>
        <w:rPr>
          <w:lang w:eastAsia="cs-CZ"/>
        </w:rPr>
        <w:t>v)</w:t>
      </w:r>
      <w:r>
        <w:rPr>
          <w:lang w:eastAsia="cs-CZ"/>
        </w:rPr>
        <w:tab/>
        <w:t>vykonáva audit alebo požiada orgán posudzovania zhody o vykonanie auditu u prevádzkovateľa základnej služby,</w:t>
      </w:r>
    </w:p>
    <w:p w:rsidR="002E46D9" w:rsidRDefault="002E46D9" w:rsidP="009F7D56">
      <w:pPr>
        <w:widowControl w:val="0"/>
        <w:ind w:left="709" w:hanging="283"/>
        <w:jc w:val="both"/>
        <w:rPr>
          <w:lang w:eastAsia="cs-CZ"/>
        </w:rPr>
      </w:pPr>
      <w:r>
        <w:rPr>
          <w:lang w:eastAsia="cs-CZ"/>
        </w:rPr>
        <w:t>w)</w:t>
      </w:r>
      <w:r>
        <w:rPr>
          <w:lang w:eastAsia="cs-CZ"/>
        </w:rPr>
        <w:tab/>
        <w:t>v spolupráci s Ministerstvom školstva, vedy, výskumu a športu Slovenskej republiky vykonáva a zabezpečuje budovanie bezpečnostného povedomia,</w:t>
      </w:r>
    </w:p>
    <w:p w:rsidR="002E46D9" w:rsidRDefault="002E46D9" w:rsidP="009F7D56">
      <w:pPr>
        <w:widowControl w:val="0"/>
        <w:ind w:left="709" w:hanging="283"/>
        <w:jc w:val="both"/>
        <w:rPr>
          <w:lang w:eastAsia="cs-CZ"/>
        </w:rPr>
      </w:pPr>
      <w:r>
        <w:rPr>
          <w:lang w:eastAsia="cs-CZ"/>
        </w:rPr>
        <w:t>x)</w:t>
      </w:r>
      <w:r>
        <w:rPr>
          <w:lang w:eastAsia="cs-CZ"/>
        </w:rPr>
        <w:tab/>
        <w:t>koordinuje výskum a vývoj,</w:t>
      </w:r>
    </w:p>
    <w:p w:rsidR="002E46D9" w:rsidRDefault="002E46D9" w:rsidP="009F7D56">
      <w:pPr>
        <w:widowControl w:val="0"/>
        <w:ind w:left="709" w:hanging="283"/>
        <w:jc w:val="both"/>
        <w:rPr>
          <w:lang w:eastAsia="cs-CZ"/>
        </w:rPr>
      </w:pPr>
      <w:r>
        <w:rPr>
          <w:lang w:eastAsia="cs-CZ"/>
        </w:rPr>
        <w:t>y)</w:t>
      </w:r>
      <w:r>
        <w:rPr>
          <w:lang w:eastAsia="cs-CZ"/>
        </w:rPr>
        <w:tab/>
        <w:t>zriaďuje pracovné skupiny pre metodiku a štandardy.</w:t>
      </w:r>
    </w:p>
    <w:p w:rsidR="009F7D56" w:rsidRDefault="009F7D56" w:rsidP="009F7D56">
      <w:pPr>
        <w:widowControl w:val="0"/>
        <w:ind w:firstLine="709"/>
        <w:jc w:val="both"/>
        <w:rPr>
          <w:lang w:eastAsia="cs-CZ"/>
        </w:rPr>
      </w:pPr>
      <w:r>
        <w:rPr>
          <w:lang w:eastAsia="cs-CZ"/>
        </w:rPr>
        <w:t xml:space="preserve">     </w:t>
      </w:r>
    </w:p>
    <w:p w:rsidR="009F7D56" w:rsidRDefault="009F7D56" w:rsidP="009F7D56">
      <w:pPr>
        <w:widowControl w:val="0"/>
        <w:jc w:val="both"/>
        <w:rPr>
          <w:lang w:eastAsia="cs-CZ"/>
        </w:rPr>
      </w:pPr>
      <w:r>
        <w:rPr>
          <w:lang w:eastAsia="cs-CZ"/>
        </w:rPr>
        <w:t xml:space="preserve">     </w:t>
      </w:r>
    </w:p>
    <w:p w:rsidR="002E46D9" w:rsidRDefault="009F7D56" w:rsidP="009F7D56">
      <w:pPr>
        <w:widowControl w:val="0"/>
        <w:jc w:val="both"/>
        <w:rPr>
          <w:lang w:eastAsia="cs-CZ"/>
        </w:rPr>
      </w:pPr>
      <w:r>
        <w:rPr>
          <w:lang w:eastAsia="cs-CZ"/>
        </w:rPr>
        <w:t xml:space="preserve">     </w:t>
      </w:r>
      <w:r w:rsidR="002E46D9">
        <w:rPr>
          <w:lang w:eastAsia="cs-CZ"/>
        </w:rPr>
        <w:t xml:space="preserve">Návrh bude mať zvýšené nároky na rozpočet aj na Ministerstvo dopravy a výstavby Slovenskej republiky, Ministerstvo financií Slovenskej republiky, Ministerstvo hospodárstva Slovenskej republiky, Ministerstvo obrany Slovenskej republiky, Ministerstvo vnútra Slovenskej republiky, Ministerstvo zdravotníctva Slovenskej republiky, Ministerstvo životného prostredia Slovenskej republiky, Slovenská informačná služba, Úrad podpredsedu vlády pre investície a informatizáciu a Vojenské spravodajstvo, ktoré budú plniť úlohu ústredného orgánu a  v rozsahu svojej pôsobnosti určenej podľa zákona budú zodpovedné za zabezpečenie kybernetickej bezpečnosti  tým, že </w:t>
      </w:r>
    </w:p>
    <w:p w:rsidR="002E46D9" w:rsidRDefault="002E46D9" w:rsidP="009F7D56">
      <w:pPr>
        <w:widowControl w:val="0"/>
        <w:ind w:left="709" w:hanging="283"/>
        <w:jc w:val="both"/>
        <w:rPr>
          <w:lang w:eastAsia="cs-CZ"/>
        </w:rPr>
      </w:pPr>
      <w:r>
        <w:rPr>
          <w:lang w:eastAsia="cs-CZ"/>
        </w:rPr>
        <w:t>a)</w:t>
      </w:r>
      <w:r>
        <w:rPr>
          <w:lang w:eastAsia="cs-CZ"/>
        </w:rPr>
        <w:tab/>
        <w:t>zabezpečuje plnenie úloh jednotky CSIRT v rozsahu svojej pôsobnosti,</w:t>
      </w:r>
    </w:p>
    <w:p w:rsidR="002E46D9" w:rsidRDefault="002E46D9" w:rsidP="009F7D56">
      <w:pPr>
        <w:widowControl w:val="0"/>
        <w:ind w:left="709" w:hanging="283"/>
        <w:jc w:val="both"/>
        <w:rPr>
          <w:lang w:eastAsia="cs-CZ"/>
        </w:rPr>
      </w:pPr>
      <w:r>
        <w:rPr>
          <w:lang w:eastAsia="cs-CZ"/>
        </w:rPr>
        <w:t>b)</w:t>
      </w:r>
      <w:r>
        <w:rPr>
          <w:lang w:eastAsia="cs-CZ"/>
        </w:rPr>
        <w:tab/>
        <w:t>poskytuje úradom  požadovanú súčinnosť a informácie získané z vlastnej činnosti dôležité pre zabezpečenie kybernetickej bezpečnosti,</w:t>
      </w:r>
    </w:p>
    <w:p w:rsidR="002E46D9" w:rsidRDefault="002E46D9" w:rsidP="009F7D56">
      <w:pPr>
        <w:widowControl w:val="0"/>
        <w:ind w:left="709" w:hanging="283"/>
        <w:jc w:val="both"/>
        <w:rPr>
          <w:lang w:eastAsia="cs-CZ"/>
        </w:rPr>
      </w:pPr>
      <w:r>
        <w:rPr>
          <w:lang w:eastAsia="cs-CZ"/>
        </w:rPr>
        <w:t>c)</w:t>
      </w:r>
      <w:r>
        <w:rPr>
          <w:lang w:eastAsia="cs-CZ"/>
        </w:rPr>
        <w:tab/>
        <w:t>spolupracuje s ostatnými ústrednými orgánmi a prevádzkovateľmi základných služieb vo svojej pôsobnosti pri plnení úloh podľa tohto zákona,</w:t>
      </w:r>
    </w:p>
    <w:p w:rsidR="002E46D9" w:rsidRDefault="002E46D9" w:rsidP="009F7D56">
      <w:pPr>
        <w:widowControl w:val="0"/>
        <w:ind w:left="709" w:hanging="283"/>
        <w:jc w:val="both"/>
        <w:rPr>
          <w:lang w:eastAsia="cs-CZ"/>
        </w:rPr>
      </w:pPr>
      <w:r>
        <w:rPr>
          <w:lang w:eastAsia="cs-CZ"/>
        </w:rPr>
        <w:t>d)</w:t>
      </w:r>
      <w:r>
        <w:rPr>
          <w:lang w:eastAsia="cs-CZ"/>
        </w:rPr>
        <w:tab/>
        <w:t xml:space="preserve">buduje bezpečnostné povedomie, koordinovanú spoluprácu na všetkých stupňoch riadenia kybernetickej bezpečnosti a aplikovanie politiky správania sa v kybernetickom priestore, </w:t>
      </w:r>
    </w:p>
    <w:p w:rsidR="002E46D9" w:rsidRDefault="002E46D9" w:rsidP="009F7D56">
      <w:pPr>
        <w:widowControl w:val="0"/>
        <w:ind w:left="709" w:hanging="283"/>
        <w:jc w:val="both"/>
        <w:rPr>
          <w:lang w:eastAsia="cs-CZ"/>
        </w:rPr>
      </w:pPr>
      <w:r>
        <w:rPr>
          <w:lang w:eastAsia="cs-CZ"/>
        </w:rPr>
        <w:t>e)</w:t>
      </w:r>
      <w:r>
        <w:rPr>
          <w:lang w:eastAsia="cs-CZ"/>
        </w:rPr>
        <w:tab/>
        <w:t>v spolupráci s úradom určuje špecifické sektorové identifikačné kritériá,</w:t>
      </w:r>
    </w:p>
    <w:p w:rsidR="002E46D9" w:rsidRDefault="002E46D9" w:rsidP="009F7D56">
      <w:pPr>
        <w:widowControl w:val="0"/>
        <w:ind w:left="709" w:hanging="283"/>
        <w:jc w:val="both"/>
        <w:rPr>
          <w:lang w:eastAsia="cs-CZ"/>
        </w:rPr>
      </w:pPr>
      <w:r>
        <w:rPr>
          <w:lang w:eastAsia="cs-CZ"/>
        </w:rPr>
        <w:lastRenderedPageBreak/>
        <w:t>f)</w:t>
      </w:r>
      <w:r>
        <w:rPr>
          <w:lang w:eastAsia="cs-CZ"/>
        </w:rPr>
        <w:tab/>
        <w:t>identifikuje základnú službu a prevádzkovateľa základnej služby a ich aktuálny zoznam predkladá úradu na účely zaradenia do zoznamu základných služieb a registra prevádzkovateľov základných služieb,</w:t>
      </w:r>
    </w:p>
    <w:p w:rsidR="002E46D9" w:rsidRDefault="002E46D9" w:rsidP="009F7D56">
      <w:pPr>
        <w:widowControl w:val="0"/>
        <w:ind w:left="709" w:hanging="283"/>
        <w:jc w:val="both"/>
        <w:rPr>
          <w:lang w:eastAsia="cs-CZ"/>
        </w:rPr>
      </w:pPr>
      <w:r>
        <w:rPr>
          <w:lang w:eastAsia="cs-CZ"/>
        </w:rPr>
        <w:t>g)</w:t>
      </w:r>
      <w:r>
        <w:rPr>
          <w:lang w:eastAsia="cs-CZ"/>
        </w:rPr>
        <w:tab/>
        <w:t>spolupracuje so zahraničnou inštitúciou obdobného zamerania.</w:t>
      </w:r>
    </w:p>
    <w:p w:rsidR="009F7D56" w:rsidRDefault="009F7D56" w:rsidP="009F7D56">
      <w:pPr>
        <w:widowControl w:val="0"/>
        <w:ind w:firstLine="709"/>
        <w:jc w:val="both"/>
        <w:rPr>
          <w:lang w:eastAsia="cs-CZ"/>
        </w:rPr>
      </w:pPr>
      <w:r>
        <w:rPr>
          <w:lang w:eastAsia="cs-CZ"/>
        </w:rPr>
        <w:t xml:space="preserve">    </w:t>
      </w:r>
    </w:p>
    <w:p w:rsidR="002E46D9" w:rsidRDefault="009F7D56" w:rsidP="009F7D56">
      <w:pPr>
        <w:widowControl w:val="0"/>
        <w:jc w:val="both"/>
        <w:rPr>
          <w:lang w:eastAsia="cs-CZ"/>
        </w:rPr>
      </w:pPr>
      <w:r>
        <w:rPr>
          <w:lang w:eastAsia="cs-CZ"/>
        </w:rPr>
        <w:t xml:space="preserve">     </w:t>
      </w:r>
      <w:r w:rsidR="002E46D9">
        <w:rPr>
          <w:lang w:eastAsia="cs-CZ"/>
        </w:rPr>
        <w:t xml:space="preserve">Návrh bude mať zvýšené nároky na rozpočet aj na ministerstvá a ostatné ústredné orgány štátnej správy, ktoré nie sú ústredným orgánom, Generálna prokuratúra Slovenskej republiky, Najvyšší kontrolný úrad Slovenskej republiky, Úrad pre dohľad nad zdravotnou starostlivosťou, Úrad na ochranu osobných údajov Slovenskej republiky, Úrad pre reguláciu sieťových odvetví a iné štátne orgány v rozsahu svojej pôsobnosti, ktoré budú  zodpovedať za zabezpečenie kybernetickej bezpečnosti  tým, že: </w:t>
      </w:r>
    </w:p>
    <w:p w:rsidR="002E46D9" w:rsidRDefault="002E46D9" w:rsidP="009F7D56">
      <w:pPr>
        <w:widowControl w:val="0"/>
        <w:ind w:left="709" w:hanging="283"/>
        <w:jc w:val="both"/>
        <w:rPr>
          <w:lang w:eastAsia="cs-CZ"/>
        </w:rPr>
      </w:pPr>
      <w:r>
        <w:rPr>
          <w:lang w:eastAsia="cs-CZ"/>
        </w:rPr>
        <w:t>a)</w:t>
      </w:r>
      <w:r>
        <w:rPr>
          <w:lang w:eastAsia="cs-CZ"/>
        </w:rPr>
        <w:tab/>
        <w:t xml:space="preserve">prijíma a dodržiava vhodné a primerané bezpečnostné opatrenia podľa § 20 na účely riadenia rizík súvisiacich so zabezpečením sietí a informačných systémov, ktoré nie sú základnou službou a procesu riešenia kybernetických bezpečnostných incidentov, </w:t>
      </w:r>
    </w:p>
    <w:p w:rsidR="002E46D9" w:rsidRDefault="002E46D9" w:rsidP="009F7D56">
      <w:pPr>
        <w:widowControl w:val="0"/>
        <w:ind w:left="709" w:hanging="283"/>
        <w:jc w:val="both"/>
        <w:rPr>
          <w:lang w:eastAsia="cs-CZ"/>
        </w:rPr>
      </w:pPr>
      <w:r>
        <w:rPr>
          <w:lang w:eastAsia="cs-CZ"/>
        </w:rPr>
        <w:t>b)</w:t>
      </w:r>
      <w:r>
        <w:rPr>
          <w:lang w:eastAsia="cs-CZ"/>
        </w:rPr>
        <w:tab/>
        <w:t>poskytuje úradom požadovanú súčinnosť a informácie získané z vlastnej činnosti dôležité pre zabezpečenie kybernetickej bezpečnosti; informácie sa poskytujú len za podmienky, že ich poskytnutím nedôjde k ohrozeniu plnenia konkrétnej úlohy podľa osobitného predpisu19) alebo k odhaleniu jej zdrojov, prostriedkov, totožnosti osôb konajúcich v jej prospech, alebo k ohrozeniu medzinárodnej spravodajskej spolupráce,</w:t>
      </w:r>
    </w:p>
    <w:p w:rsidR="002E46D9" w:rsidRDefault="002E46D9" w:rsidP="009F7D56">
      <w:pPr>
        <w:widowControl w:val="0"/>
        <w:ind w:left="709" w:hanging="283"/>
        <w:jc w:val="both"/>
        <w:rPr>
          <w:lang w:eastAsia="cs-CZ"/>
        </w:rPr>
      </w:pPr>
      <w:r>
        <w:rPr>
          <w:lang w:eastAsia="cs-CZ"/>
        </w:rPr>
        <w:t>c)</w:t>
      </w:r>
      <w:r>
        <w:rPr>
          <w:lang w:eastAsia="cs-CZ"/>
        </w:rPr>
        <w:tab/>
        <w:t>buduje bezpečnostné povedomie, vykonáva a zabezpečuje vzdelávanie vo svojich podmienkach.</w:t>
      </w:r>
    </w:p>
    <w:p w:rsidR="009F7D56" w:rsidRDefault="009F7D56" w:rsidP="009F7D56">
      <w:pPr>
        <w:widowControl w:val="0"/>
        <w:jc w:val="both"/>
        <w:rPr>
          <w:lang w:eastAsia="cs-CZ"/>
        </w:rPr>
      </w:pPr>
    </w:p>
    <w:p w:rsidR="002E46D9" w:rsidRDefault="009F7D56" w:rsidP="009F7D56">
      <w:pPr>
        <w:widowControl w:val="0"/>
        <w:jc w:val="both"/>
        <w:rPr>
          <w:lang w:eastAsia="cs-CZ"/>
        </w:rPr>
      </w:pPr>
      <w:r>
        <w:rPr>
          <w:lang w:eastAsia="cs-CZ"/>
        </w:rPr>
        <w:t xml:space="preserve">     </w:t>
      </w:r>
      <w:r w:rsidR="002E46D9">
        <w:rPr>
          <w:lang w:eastAsia="cs-CZ"/>
        </w:rPr>
        <w:t xml:space="preserve">Návrh bude mať zvýšené nároky na rozpočet aj na Úradu vlády Slovenskej republiky v rámci ktorého sa zriaďuje vládna jednotka CSIRT v pôsobnosti pre podsektor informačné systémy verejnej správy. </w:t>
      </w:r>
    </w:p>
    <w:p w:rsidR="002E46D9" w:rsidRDefault="002E46D9" w:rsidP="002E46D9">
      <w:pPr>
        <w:widowControl w:val="0"/>
        <w:ind w:firstLine="709"/>
        <w:jc w:val="both"/>
        <w:rPr>
          <w:lang w:eastAsia="cs-CZ"/>
        </w:rPr>
      </w:pPr>
    </w:p>
    <w:p w:rsidR="009F7D56" w:rsidRDefault="009F7D56" w:rsidP="009F7D56">
      <w:pPr>
        <w:widowControl w:val="0"/>
        <w:jc w:val="both"/>
        <w:rPr>
          <w:lang w:eastAsia="cs-CZ"/>
        </w:rPr>
      </w:pPr>
      <w:r>
        <w:rPr>
          <w:lang w:eastAsia="cs-CZ"/>
        </w:rPr>
        <w:t xml:space="preserve">          </w:t>
      </w:r>
      <w:r w:rsidR="002E46D9">
        <w:rPr>
          <w:lang w:eastAsia="cs-CZ"/>
        </w:rPr>
        <w:t xml:space="preserve">Ďalšie nároky na rozpočet budú mať orgány verejnej moci ktorý budú podľa navrhovaného zákona prevádzkovatelia základných služieb budú musieť </w:t>
      </w:r>
      <w:r w:rsidR="003E6D79">
        <w:rPr>
          <w:lang w:eastAsia="cs-CZ"/>
        </w:rPr>
        <w:t xml:space="preserve">do 24 mesiacov od  9. 11. 2018 </w:t>
      </w:r>
      <w:r w:rsidR="002E46D9">
        <w:rPr>
          <w:lang w:eastAsia="cs-CZ"/>
        </w:rPr>
        <w:t xml:space="preserve">zosúladiť svoje siete a informačné systémy s požiadavkami zákona a prijať požadované bezpečnostné opatrenia, ktorých cieľom je zabezpečenie kybernetickej bezpečnosti počas životného cyklu sietí a informačných systémov. </w:t>
      </w:r>
    </w:p>
    <w:p w:rsidR="003E6D79" w:rsidRDefault="003E6D79" w:rsidP="009F7D56">
      <w:pPr>
        <w:widowControl w:val="0"/>
        <w:jc w:val="both"/>
        <w:rPr>
          <w:lang w:eastAsia="cs-CZ"/>
        </w:rPr>
      </w:pPr>
    </w:p>
    <w:p w:rsidR="009F7D56" w:rsidRDefault="00170040" w:rsidP="009F7D56">
      <w:pPr>
        <w:widowControl w:val="0"/>
        <w:jc w:val="both"/>
        <w:rPr>
          <w:lang w:eastAsia="cs-CZ"/>
        </w:rPr>
      </w:pPr>
      <w:r>
        <w:rPr>
          <w:lang w:eastAsia="cs-CZ"/>
        </w:rPr>
        <w:t xml:space="preserve">     </w:t>
      </w:r>
      <w:r w:rsidR="003E6D79">
        <w:rPr>
          <w:lang w:eastAsia="cs-CZ"/>
        </w:rPr>
        <w:t xml:space="preserve">     </w:t>
      </w:r>
      <w:r w:rsidRPr="00170040">
        <w:rPr>
          <w:lang w:eastAsia="cs-CZ"/>
        </w:rPr>
        <w:t xml:space="preserve">Financovanie </w:t>
      </w:r>
      <w:r w:rsidR="003E6D79">
        <w:rPr>
          <w:lang w:eastAsia="cs-CZ"/>
        </w:rPr>
        <w:t xml:space="preserve">kapitálových </w:t>
      </w:r>
      <w:r w:rsidRPr="00170040">
        <w:rPr>
          <w:lang w:eastAsia="cs-CZ"/>
        </w:rPr>
        <w:t>požiadaviek návrhu zákona (napr. sieť jednotiek CSIRT, jednotný informačný systém kybernetickej bezpečnosti,  zosúladenie existujúcich sietí a informačných systémov orgánov verejnej moci a subjektov kritickej infraštruktúry s požiadavkami tohto zákona) bude zabezpečen</w:t>
      </w:r>
      <w:r w:rsidR="003E6D79">
        <w:rPr>
          <w:lang w:eastAsia="cs-CZ"/>
        </w:rPr>
        <w:t xml:space="preserve">ý </w:t>
      </w:r>
      <w:r w:rsidRPr="00170040">
        <w:rPr>
          <w:lang w:eastAsia="cs-CZ"/>
        </w:rPr>
        <w:t>zo zdrojov európskych štrukturálnych a investičných fondov v programovom období 2014 – 2020, a to z Operačného programu Integrovaná infraštruktúra v rámci prioritnej osi č. 7 „Informačná spoločnosť“ špecifický cieľ 7.9 Zabezpečenie komplexnej kybernetickej bezpečnosti v spoločnosti, v predpokladanej výške 10% z celkových výdavkov programu (t. j. zo sumy 947 666 768 mil. eur., vrátane spolufinancovania 142 150 016 eur.) rozpočítaných na jednotlivé roky.</w:t>
      </w:r>
    </w:p>
    <w:p w:rsidR="00440041" w:rsidRDefault="009F7D56" w:rsidP="009F7D56">
      <w:pPr>
        <w:widowControl w:val="0"/>
        <w:jc w:val="both"/>
        <w:rPr>
          <w:lang w:eastAsia="cs-CZ"/>
        </w:rPr>
      </w:pPr>
      <w:r>
        <w:rPr>
          <w:lang w:eastAsia="cs-CZ"/>
        </w:rPr>
        <w:t xml:space="preserve">     </w:t>
      </w:r>
    </w:p>
    <w:p w:rsidR="00252F43" w:rsidRDefault="00440041" w:rsidP="002E46D9">
      <w:pPr>
        <w:widowControl w:val="0"/>
        <w:jc w:val="both"/>
      </w:pPr>
      <w:r>
        <w:rPr>
          <w:lang w:eastAsia="cs-CZ"/>
        </w:rPr>
        <w:t xml:space="preserve">     </w:t>
      </w:r>
      <w:r w:rsidR="009F7D56">
        <w:t xml:space="preserve">   </w:t>
      </w:r>
      <w:r w:rsidR="00252F43" w:rsidRPr="00EA30E1">
        <w:t xml:space="preserve">Výdavky verejnej správy </w:t>
      </w:r>
      <w:r w:rsidR="009F7D56">
        <w:t xml:space="preserve">na zabezpečenie činností podľa tohto zákona je možné použiť tiež </w:t>
      </w:r>
      <w:r w:rsidR="00252F43" w:rsidRPr="00EA30E1">
        <w:t xml:space="preserve">z viacerých zdrojov </w:t>
      </w:r>
      <w:r w:rsidR="009F7D56">
        <w:t xml:space="preserve">a </w:t>
      </w:r>
      <w:r w:rsidR="00252F43" w:rsidRPr="00EA30E1">
        <w:t>operačných programov, a to z:</w:t>
      </w:r>
    </w:p>
    <w:p w:rsidR="009F7D56" w:rsidRPr="00EA30E1" w:rsidRDefault="009F7D56" w:rsidP="002E46D9">
      <w:pPr>
        <w:widowControl w:val="0"/>
        <w:jc w:val="both"/>
      </w:pPr>
    </w:p>
    <w:p w:rsidR="00252F43" w:rsidRDefault="00252F43" w:rsidP="002E46D9">
      <w:pPr>
        <w:pStyle w:val="Odsekzoznamu"/>
        <w:widowControl w:val="0"/>
        <w:numPr>
          <w:ilvl w:val="0"/>
          <w:numId w:val="18"/>
        </w:numPr>
        <w:spacing w:after="0" w:line="240" w:lineRule="auto"/>
        <w:ind w:left="357" w:hanging="357"/>
        <w:jc w:val="both"/>
        <w:rPr>
          <w:rFonts w:ascii="Times New Roman" w:hAnsi="Times New Roman" w:cs="Times New Roman"/>
          <w:sz w:val="20"/>
          <w:szCs w:val="20"/>
          <w:lang w:eastAsia="cs-CZ"/>
        </w:rPr>
      </w:pPr>
      <w:r w:rsidRPr="00EA30E1">
        <w:rPr>
          <w:rFonts w:ascii="Times New Roman" w:hAnsi="Times New Roman" w:cs="Times New Roman"/>
          <w:b/>
          <w:sz w:val="20"/>
          <w:szCs w:val="20"/>
        </w:rPr>
        <w:t xml:space="preserve">Operačný program Výskum a inovácie </w:t>
      </w:r>
      <w:r w:rsidRPr="00EA30E1">
        <w:rPr>
          <w:rFonts w:ascii="Times New Roman" w:hAnsi="Times New Roman" w:cs="Times New Roman"/>
          <w:sz w:val="20"/>
          <w:szCs w:val="20"/>
        </w:rPr>
        <w:t xml:space="preserve">– </w:t>
      </w:r>
      <w:r w:rsidR="004E5550" w:rsidRPr="00EA30E1">
        <w:rPr>
          <w:rFonts w:ascii="Times New Roman" w:hAnsi="Times New Roman" w:cs="Times New Roman"/>
          <w:bCs/>
          <w:iCs/>
          <w:sz w:val="20"/>
          <w:szCs w:val="20"/>
        </w:rPr>
        <w:t>špecifický cieľ 1.2.1, aktivitu „Podpora dlhodobého strategického výskumu v oblastiach špecializácie RIS3 SK</w:t>
      </w:r>
      <w:r w:rsidR="001A0D26" w:rsidRPr="00EA30E1">
        <w:rPr>
          <w:rFonts w:ascii="Times New Roman" w:hAnsi="Times New Roman" w:cs="Times New Roman"/>
          <w:sz w:val="20"/>
          <w:szCs w:val="20"/>
        </w:rPr>
        <w:t xml:space="preserve"> </w:t>
      </w:r>
      <w:r w:rsidRPr="00EA30E1">
        <w:rPr>
          <w:rFonts w:ascii="Times New Roman" w:hAnsi="Times New Roman" w:cs="Times New Roman"/>
          <w:sz w:val="20"/>
          <w:szCs w:val="20"/>
        </w:rPr>
        <w:t xml:space="preserve">s možným čerpaním od roku 2016 </w:t>
      </w:r>
      <w:r w:rsidR="00CE6626" w:rsidRPr="00EA30E1">
        <w:rPr>
          <w:rFonts w:ascii="Times New Roman" w:hAnsi="Times New Roman" w:cs="Times New Roman"/>
          <w:sz w:val="20"/>
          <w:szCs w:val="20"/>
        </w:rPr>
        <w:t>n</w:t>
      </w:r>
      <w:r w:rsidRPr="00EA30E1">
        <w:rPr>
          <w:rFonts w:ascii="Times New Roman" w:hAnsi="Times New Roman" w:cs="Times New Roman"/>
          <w:sz w:val="20"/>
          <w:szCs w:val="20"/>
        </w:rPr>
        <w:t>a projekty v celkovej výške 110 mil. eur.</w:t>
      </w:r>
    </w:p>
    <w:p w:rsidR="00C07BBD" w:rsidRPr="00EA30E1" w:rsidRDefault="00C07BBD" w:rsidP="00C07BBD">
      <w:pPr>
        <w:pStyle w:val="Odsekzoznamu"/>
        <w:widowControl w:val="0"/>
        <w:spacing w:after="0" w:line="240" w:lineRule="auto"/>
        <w:ind w:left="357"/>
        <w:jc w:val="both"/>
        <w:rPr>
          <w:rFonts w:ascii="Times New Roman" w:hAnsi="Times New Roman" w:cs="Times New Roman"/>
          <w:sz w:val="20"/>
          <w:szCs w:val="20"/>
          <w:lang w:eastAsia="cs-CZ"/>
        </w:rPr>
      </w:pPr>
    </w:p>
    <w:p w:rsidR="00252F43" w:rsidRDefault="00252F43" w:rsidP="002E46D9">
      <w:pPr>
        <w:pStyle w:val="Odsekzoznamu"/>
        <w:widowControl w:val="0"/>
        <w:numPr>
          <w:ilvl w:val="0"/>
          <w:numId w:val="18"/>
        </w:numPr>
        <w:spacing w:after="0" w:line="240" w:lineRule="auto"/>
        <w:ind w:left="357" w:hanging="357"/>
        <w:jc w:val="both"/>
        <w:rPr>
          <w:rFonts w:ascii="Times New Roman" w:hAnsi="Times New Roman" w:cs="Times New Roman"/>
          <w:sz w:val="20"/>
          <w:szCs w:val="20"/>
          <w:lang w:eastAsia="cs-CZ"/>
        </w:rPr>
      </w:pPr>
      <w:r w:rsidRPr="00EA30E1">
        <w:rPr>
          <w:rFonts w:ascii="Times New Roman" w:hAnsi="Times New Roman" w:cs="Times New Roman"/>
          <w:b/>
          <w:sz w:val="20"/>
          <w:szCs w:val="20"/>
        </w:rPr>
        <w:t>Operačný program Ľudské zdroje</w:t>
      </w:r>
      <w:bookmarkStart w:id="2" w:name="_GoBack"/>
      <w:bookmarkEnd w:id="2"/>
      <w:r w:rsidRPr="00EA30E1">
        <w:rPr>
          <w:rFonts w:ascii="Times New Roman" w:hAnsi="Times New Roman" w:cs="Times New Roman"/>
          <w:b/>
          <w:sz w:val="20"/>
          <w:szCs w:val="20"/>
        </w:rPr>
        <w:t xml:space="preserve">, </w:t>
      </w:r>
      <w:r w:rsidRPr="00EA30E1">
        <w:rPr>
          <w:rFonts w:ascii="Times New Roman" w:hAnsi="Times New Roman" w:cs="Times New Roman"/>
          <w:sz w:val="20"/>
          <w:szCs w:val="20"/>
        </w:rPr>
        <w:t>prioritnej osi 1 – vzdelávanie.</w:t>
      </w:r>
    </w:p>
    <w:p w:rsidR="009F7D56" w:rsidRPr="00EA30E1" w:rsidRDefault="009F7D56" w:rsidP="009F7D56">
      <w:pPr>
        <w:pStyle w:val="Odsekzoznamu"/>
        <w:widowControl w:val="0"/>
        <w:spacing w:after="0" w:line="240" w:lineRule="auto"/>
        <w:ind w:left="357"/>
        <w:jc w:val="both"/>
        <w:rPr>
          <w:rFonts w:ascii="Times New Roman" w:hAnsi="Times New Roman" w:cs="Times New Roman"/>
          <w:sz w:val="20"/>
          <w:szCs w:val="20"/>
          <w:lang w:eastAsia="cs-CZ"/>
        </w:rPr>
      </w:pPr>
    </w:p>
    <w:p w:rsidR="00252F43" w:rsidRPr="00EA30E1" w:rsidRDefault="00252F43" w:rsidP="002E46D9">
      <w:pPr>
        <w:pStyle w:val="Odsekzoznamu"/>
        <w:widowControl w:val="0"/>
        <w:numPr>
          <w:ilvl w:val="0"/>
          <w:numId w:val="18"/>
        </w:numPr>
        <w:spacing w:after="0" w:line="240" w:lineRule="auto"/>
        <w:ind w:left="357" w:hanging="357"/>
        <w:jc w:val="both"/>
        <w:rPr>
          <w:rFonts w:ascii="Times New Roman" w:hAnsi="Times New Roman" w:cs="Times New Roman"/>
          <w:sz w:val="20"/>
          <w:szCs w:val="20"/>
        </w:rPr>
      </w:pPr>
      <w:r w:rsidRPr="00EA30E1">
        <w:rPr>
          <w:rFonts w:ascii="Times New Roman" w:hAnsi="Times New Roman" w:cs="Times New Roman"/>
          <w:b/>
          <w:sz w:val="20"/>
          <w:szCs w:val="20"/>
        </w:rPr>
        <w:t>Medzirezortný program na finančné zabezpečenie plnenia opatrení pre ochranu kritickej infraštruktúry v Slovenskej republike OAS02</w:t>
      </w:r>
      <w:r w:rsidRPr="00EA30E1">
        <w:rPr>
          <w:rFonts w:ascii="Times New Roman" w:hAnsi="Times New Roman" w:cs="Times New Roman"/>
          <w:sz w:val="20"/>
          <w:szCs w:val="20"/>
        </w:rPr>
        <w:t xml:space="preserve"> schválený uznesením vlády SR č. 185/2008.</w:t>
      </w:r>
    </w:p>
    <w:p w:rsidR="00252F43" w:rsidRPr="00EA30E1" w:rsidRDefault="00252F43" w:rsidP="002E46D9">
      <w:pPr>
        <w:tabs>
          <w:tab w:val="num" w:pos="1080"/>
        </w:tabs>
        <w:jc w:val="both"/>
        <w:rPr>
          <w:bCs/>
        </w:rPr>
      </w:pPr>
    </w:p>
    <w:p w:rsidR="00252F43" w:rsidRPr="00EA30E1" w:rsidRDefault="00252F43" w:rsidP="002E46D9">
      <w:pPr>
        <w:tabs>
          <w:tab w:val="num" w:pos="1080"/>
        </w:tabs>
        <w:jc w:val="both"/>
        <w:rPr>
          <w:bCs/>
        </w:rPr>
      </w:pPr>
    </w:p>
    <w:p w:rsidR="00252F43" w:rsidRPr="00870D7F" w:rsidRDefault="00252F43" w:rsidP="00252F43">
      <w:pPr>
        <w:rPr>
          <w:bCs/>
          <w:sz w:val="24"/>
        </w:rPr>
        <w:sectPr w:rsidR="00252F43" w:rsidRPr="00870D7F">
          <w:pgSz w:w="11906" w:h="16838"/>
          <w:pgMar w:top="1417" w:right="1417" w:bottom="1276" w:left="1417" w:header="708" w:footer="708" w:gutter="0"/>
          <w:pgNumType w:start="1"/>
          <w:cols w:space="708"/>
        </w:sectPr>
      </w:pPr>
    </w:p>
    <w:p w:rsidR="00252F43" w:rsidRPr="00870D7F" w:rsidRDefault="00252F43" w:rsidP="00252F43">
      <w:pPr>
        <w:tabs>
          <w:tab w:val="num" w:pos="1080"/>
        </w:tabs>
        <w:jc w:val="right"/>
        <w:rPr>
          <w:bCs/>
          <w:sz w:val="24"/>
          <w:szCs w:val="24"/>
        </w:rPr>
      </w:pPr>
      <w:r w:rsidRPr="00870D7F">
        <w:rPr>
          <w:bCs/>
          <w:sz w:val="24"/>
          <w:szCs w:val="24"/>
        </w:rPr>
        <w:lastRenderedPageBreak/>
        <w:t xml:space="preserve">Tabuľka č. 3 </w:t>
      </w:r>
    </w:p>
    <w:p w:rsidR="00252F43" w:rsidRPr="00870D7F" w:rsidRDefault="002800A2" w:rsidP="00252F43">
      <w:pPr>
        <w:tabs>
          <w:tab w:val="num" w:pos="1080"/>
        </w:tabs>
        <w:jc w:val="both"/>
        <w:rPr>
          <w:bCs/>
          <w:sz w:val="24"/>
        </w:rPr>
      </w:pPr>
      <w:r w:rsidRPr="00870D7F">
        <w:rPr>
          <w:bCs/>
          <w:sz w:val="24"/>
        </w:rPr>
        <w:tab/>
      </w:r>
      <w:r w:rsidRPr="00870D7F">
        <w:rPr>
          <w:bCs/>
          <w:sz w:val="24"/>
        </w:rPr>
        <w:tab/>
      </w:r>
      <w:r w:rsidRPr="00870D7F">
        <w:rPr>
          <w:bCs/>
          <w:sz w:val="24"/>
        </w:rPr>
        <w:tab/>
      </w:r>
      <w:r w:rsidRPr="00870D7F">
        <w:rPr>
          <w:bCs/>
          <w:sz w:val="24"/>
        </w:rPr>
        <w:tab/>
      </w:r>
      <w:r w:rsidRPr="00870D7F">
        <w:rPr>
          <w:bCs/>
          <w:sz w:val="24"/>
        </w:rPr>
        <w:tab/>
      </w:r>
      <w:r w:rsidRPr="00870D7F">
        <w:rPr>
          <w:bCs/>
          <w:sz w:val="24"/>
        </w:rPr>
        <w:tab/>
      </w:r>
      <w:r w:rsidRPr="00870D7F">
        <w:rPr>
          <w:bCs/>
          <w:sz w:val="24"/>
        </w:rPr>
        <w:tab/>
      </w:r>
      <w:r w:rsidRPr="00870D7F">
        <w:rPr>
          <w:bCs/>
          <w:sz w:val="24"/>
        </w:rPr>
        <w:tab/>
      </w:r>
      <w:r w:rsidRPr="00870D7F">
        <w:rPr>
          <w:bCs/>
          <w:sz w:val="24"/>
        </w:rPr>
        <w:tab/>
      </w:r>
      <w:r w:rsidRPr="00870D7F">
        <w:rPr>
          <w:bCs/>
          <w:sz w:val="24"/>
        </w:rPr>
        <w:tab/>
      </w:r>
      <w:r w:rsidRPr="00870D7F">
        <w:rPr>
          <w:bCs/>
          <w:sz w:val="24"/>
        </w:rPr>
        <w:tab/>
      </w:r>
      <w:r w:rsidRPr="00870D7F">
        <w:rPr>
          <w:bCs/>
          <w:sz w:val="24"/>
        </w:rPr>
        <w:tab/>
      </w:r>
      <w:r w:rsidRPr="00870D7F">
        <w:rPr>
          <w:bCs/>
          <w:sz w:val="24"/>
        </w:rPr>
        <w:tab/>
      </w:r>
      <w:r w:rsidRPr="00870D7F">
        <w:rPr>
          <w:bCs/>
          <w:sz w:val="24"/>
        </w:rPr>
        <w:tab/>
      </w:r>
      <w:r w:rsidRPr="00870D7F">
        <w:rPr>
          <w:bCs/>
          <w:sz w:val="24"/>
        </w:rPr>
        <w:tab/>
      </w:r>
      <w:r w:rsidRPr="00870D7F">
        <w:rPr>
          <w:bCs/>
          <w:sz w:val="24"/>
        </w:rPr>
        <w:tab/>
      </w:r>
      <w:r w:rsidRPr="00870D7F">
        <w:rPr>
          <w:bCs/>
          <w:sz w:val="24"/>
        </w:rPr>
        <w:tab/>
      </w:r>
      <w:r w:rsidRPr="00870D7F">
        <w:rPr>
          <w:bCs/>
          <w:sz w:val="24"/>
        </w:rPr>
        <w:tab/>
        <w:t xml:space="preserve">Tabuľka č. 4 </w:t>
      </w:r>
    </w:p>
    <w:tbl>
      <w:tblPr>
        <w:tblpPr w:leftFromText="141" w:rightFromText="141" w:bottomFromText="160" w:horzAnchor="margin" w:tblpXSpec="center" w:tblpY="533"/>
        <w:tblW w:w="13950" w:type="dxa"/>
        <w:tblCellMar>
          <w:left w:w="70" w:type="dxa"/>
          <w:right w:w="70" w:type="dxa"/>
        </w:tblCellMar>
        <w:tblLook w:val="04A0" w:firstRow="1" w:lastRow="0" w:firstColumn="1" w:lastColumn="0" w:noHBand="0" w:noVBand="1"/>
      </w:tblPr>
      <w:tblGrid>
        <w:gridCol w:w="4950"/>
        <w:gridCol w:w="1500"/>
        <w:gridCol w:w="1500"/>
        <w:gridCol w:w="1500"/>
        <w:gridCol w:w="1500"/>
        <w:gridCol w:w="3000"/>
      </w:tblGrid>
      <w:tr w:rsidR="00252F43" w:rsidRPr="00870D7F" w:rsidTr="00252F43">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52F43" w:rsidRPr="00870D7F" w:rsidRDefault="00252F43">
            <w:pPr>
              <w:spacing w:line="256" w:lineRule="auto"/>
              <w:jc w:val="center"/>
              <w:rPr>
                <w:b/>
                <w:bCs/>
                <w:sz w:val="24"/>
                <w:szCs w:val="24"/>
                <w:lang w:eastAsia="en-US"/>
              </w:rPr>
            </w:pPr>
            <w:r w:rsidRPr="00870D7F">
              <w:rPr>
                <w:b/>
                <w:bCs/>
                <w:sz w:val="24"/>
                <w:szCs w:val="24"/>
                <w:lang w:eastAsia="en-U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hideMark/>
          </w:tcPr>
          <w:p w:rsidR="00252F43" w:rsidRPr="00870D7F" w:rsidRDefault="00252F43">
            <w:pPr>
              <w:spacing w:line="256" w:lineRule="auto"/>
              <w:jc w:val="center"/>
              <w:rPr>
                <w:b/>
                <w:bCs/>
                <w:sz w:val="24"/>
                <w:szCs w:val="24"/>
                <w:lang w:eastAsia="en-US"/>
              </w:rPr>
            </w:pPr>
            <w:r w:rsidRPr="00870D7F">
              <w:rPr>
                <w:b/>
                <w:bCs/>
                <w:sz w:val="24"/>
                <w:szCs w:val="24"/>
                <w:lang w:eastAsia="en-U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52F43" w:rsidRPr="00870D7F" w:rsidRDefault="00252F43">
            <w:pPr>
              <w:spacing w:line="256" w:lineRule="auto"/>
              <w:jc w:val="center"/>
              <w:rPr>
                <w:b/>
                <w:bCs/>
                <w:sz w:val="24"/>
                <w:szCs w:val="24"/>
                <w:lang w:eastAsia="en-US"/>
              </w:rPr>
            </w:pPr>
            <w:r w:rsidRPr="00870D7F">
              <w:rPr>
                <w:b/>
                <w:bCs/>
                <w:sz w:val="24"/>
                <w:szCs w:val="24"/>
                <w:lang w:eastAsia="en-US"/>
              </w:rPr>
              <w:t>poznámka</w:t>
            </w:r>
          </w:p>
        </w:tc>
      </w:tr>
      <w:tr w:rsidR="00252F43" w:rsidRPr="00870D7F" w:rsidTr="00252F43">
        <w:trPr>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F43" w:rsidRPr="00870D7F" w:rsidRDefault="00252F43">
            <w:pPr>
              <w:spacing w:line="256" w:lineRule="auto"/>
              <w:rPr>
                <w:b/>
                <w:bCs/>
                <w:sz w:val="24"/>
                <w:szCs w:val="24"/>
                <w:lang w:eastAsia="en-US"/>
              </w:rPr>
            </w:pPr>
          </w:p>
        </w:tc>
        <w:tc>
          <w:tcPr>
            <w:tcW w:w="1500" w:type="dxa"/>
            <w:tcBorders>
              <w:top w:val="nil"/>
              <w:left w:val="nil"/>
              <w:bottom w:val="single" w:sz="4" w:space="0" w:color="auto"/>
              <w:right w:val="single" w:sz="4" w:space="0" w:color="auto"/>
            </w:tcBorders>
            <w:shd w:val="clear" w:color="auto" w:fill="BFBFBF" w:themeFill="background1" w:themeFillShade="BF"/>
            <w:hideMark/>
          </w:tcPr>
          <w:p w:rsidR="00252F43" w:rsidRPr="00870D7F" w:rsidRDefault="00252F43">
            <w:pPr>
              <w:spacing w:line="256" w:lineRule="auto"/>
              <w:jc w:val="center"/>
              <w:rPr>
                <w:b/>
                <w:bCs/>
                <w:sz w:val="24"/>
                <w:szCs w:val="24"/>
                <w:lang w:eastAsia="en-US"/>
              </w:rPr>
            </w:pPr>
            <w:r w:rsidRPr="00870D7F">
              <w:rPr>
                <w:b/>
                <w:bCs/>
                <w:sz w:val="24"/>
                <w:szCs w:val="24"/>
                <w:lang w:eastAsia="en-US"/>
              </w:rPr>
              <w:t>2018</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252F43" w:rsidRPr="00870D7F" w:rsidRDefault="00252F43">
            <w:pPr>
              <w:spacing w:line="256" w:lineRule="auto"/>
              <w:jc w:val="center"/>
              <w:rPr>
                <w:b/>
                <w:bCs/>
                <w:sz w:val="24"/>
                <w:szCs w:val="24"/>
                <w:lang w:eastAsia="en-US"/>
              </w:rPr>
            </w:pPr>
            <w:r w:rsidRPr="00870D7F">
              <w:rPr>
                <w:b/>
                <w:bCs/>
                <w:sz w:val="24"/>
                <w:szCs w:val="24"/>
                <w:lang w:eastAsia="en-US"/>
              </w:rPr>
              <w:t>2019</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252F43" w:rsidRPr="00870D7F" w:rsidRDefault="00252F43">
            <w:pPr>
              <w:spacing w:line="256" w:lineRule="auto"/>
              <w:jc w:val="center"/>
              <w:rPr>
                <w:b/>
                <w:bCs/>
                <w:sz w:val="24"/>
                <w:szCs w:val="24"/>
                <w:lang w:eastAsia="en-US"/>
              </w:rPr>
            </w:pPr>
            <w:r w:rsidRPr="00870D7F">
              <w:rPr>
                <w:b/>
                <w:bCs/>
                <w:sz w:val="24"/>
                <w:szCs w:val="24"/>
                <w:lang w:eastAsia="en-US"/>
              </w:rPr>
              <w:t>2020</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252F43" w:rsidRPr="00870D7F" w:rsidRDefault="00252F43">
            <w:pPr>
              <w:spacing w:line="256" w:lineRule="auto"/>
              <w:jc w:val="center"/>
              <w:rPr>
                <w:b/>
                <w:bCs/>
                <w:sz w:val="24"/>
                <w:szCs w:val="24"/>
                <w:lang w:eastAsia="en-US"/>
              </w:rPr>
            </w:pPr>
            <w:r w:rsidRPr="00870D7F">
              <w:rPr>
                <w:b/>
                <w:bCs/>
                <w:sz w:val="24"/>
                <w:szCs w:val="24"/>
                <w:lang w:eastAsia="en-US"/>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2F43" w:rsidRPr="00870D7F" w:rsidRDefault="00252F43">
            <w:pPr>
              <w:spacing w:line="256" w:lineRule="auto"/>
              <w:rPr>
                <w:b/>
                <w:bCs/>
                <w:sz w:val="24"/>
                <w:szCs w:val="24"/>
                <w:lang w:eastAsia="en-US"/>
              </w:rPr>
            </w:pPr>
          </w:p>
        </w:tc>
      </w:tr>
      <w:tr w:rsidR="00252F43" w:rsidRPr="00870D7F" w:rsidTr="00252F43">
        <w:trPr>
          <w:trHeight w:val="255"/>
        </w:trPr>
        <w:tc>
          <w:tcPr>
            <w:tcW w:w="4950" w:type="dxa"/>
            <w:tcBorders>
              <w:top w:val="nil"/>
              <w:left w:val="single" w:sz="4" w:space="0" w:color="auto"/>
              <w:bottom w:val="single" w:sz="4" w:space="0" w:color="auto"/>
              <w:right w:val="single" w:sz="4" w:space="0" w:color="auto"/>
            </w:tcBorders>
            <w:hideMark/>
          </w:tcPr>
          <w:p w:rsidR="00252F43" w:rsidRPr="00870D7F" w:rsidRDefault="00252F43">
            <w:pPr>
              <w:spacing w:line="256" w:lineRule="auto"/>
              <w:rPr>
                <w:b/>
                <w:bCs/>
                <w:sz w:val="24"/>
                <w:szCs w:val="24"/>
                <w:vertAlign w:val="superscript"/>
                <w:lang w:eastAsia="en-US"/>
              </w:rPr>
            </w:pPr>
            <w:r w:rsidRPr="00870D7F">
              <w:rPr>
                <w:b/>
                <w:bCs/>
                <w:sz w:val="24"/>
                <w:szCs w:val="24"/>
                <w:lang w:eastAsia="en-US"/>
              </w:rPr>
              <w:t>Daňové príjmy (100)</w:t>
            </w:r>
            <w:r w:rsidRPr="00870D7F">
              <w:rPr>
                <w:b/>
                <w:bCs/>
                <w:sz w:val="24"/>
                <w:szCs w:val="24"/>
                <w:vertAlign w:val="superscript"/>
                <w:lang w:eastAsia="en-US"/>
              </w:rPr>
              <w:t>1</w:t>
            </w:r>
          </w:p>
        </w:tc>
        <w:tc>
          <w:tcPr>
            <w:tcW w:w="1500" w:type="dxa"/>
            <w:tcBorders>
              <w:top w:val="nil"/>
              <w:left w:val="nil"/>
              <w:bottom w:val="single" w:sz="4" w:space="0" w:color="auto"/>
              <w:right w:val="single" w:sz="4" w:space="0" w:color="auto"/>
            </w:tcBorders>
            <w:hideMark/>
          </w:tcPr>
          <w:p w:rsidR="00252F43" w:rsidRPr="00870D7F" w:rsidRDefault="00252F43">
            <w:pPr>
              <w:spacing w:line="256" w:lineRule="auto"/>
              <w:jc w:val="center"/>
              <w:rPr>
                <w:b/>
                <w:bCs/>
                <w:sz w:val="24"/>
                <w:szCs w:val="24"/>
                <w:lang w:eastAsia="en-US"/>
              </w:rPr>
            </w:pPr>
            <w:r w:rsidRPr="00870D7F">
              <w:rPr>
                <w:b/>
                <w:bCs/>
                <w:sz w:val="24"/>
                <w:szCs w:val="24"/>
                <w:lang w:eastAsia="en-US"/>
              </w:rPr>
              <w:t>0</w:t>
            </w:r>
          </w:p>
        </w:tc>
        <w:tc>
          <w:tcPr>
            <w:tcW w:w="1500" w:type="dxa"/>
            <w:tcBorders>
              <w:top w:val="nil"/>
              <w:left w:val="nil"/>
              <w:bottom w:val="single" w:sz="4" w:space="0" w:color="auto"/>
              <w:right w:val="single" w:sz="4" w:space="0" w:color="auto"/>
            </w:tcBorders>
            <w:hideMark/>
          </w:tcPr>
          <w:p w:rsidR="00252F43" w:rsidRPr="00870D7F" w:rsidRDefault="00252F43">
            <w:pPr>
              <w:spacing w:line="256" w:lineRule="auto"/>
              <w:jc w:val="center"/>
              <w:rPr>
                <w:b/>
                <w:bCs/>
                <w:sz w:val="24"/>
                <w:szCs w:val="24"/>
                <w:lang w:eastAsia="en-US"/>
              </w:rPr>
            </w:pPr>
            <w:r w:rsidRPr="00870D7F">
              <w:rPr>
                <w:b/>
                <w:bCs/>
                <w:sz w:val="24"/>
                <w:szCs w:val="24"/>
                <w:lang w:eastAsia="en-US"/>
              </w:rPr>
              <w:t>0</w:t>
            </w:r>
          </w:p>
        </w:tc>
        <w:tc>
          <w:tcPr>
            <w:tcW w:w="1500" w:type="dxa"/>
            <w:tcBorders>
              <w:top w:val="nil"/>
              <w:left w:val="nil"/>
              <w:bottom w:val="single" w:sz="4" w:space="0" w:color="auto"/>
              <w:right w:val="single" w:sz="4" w:space="0" w:color="auto"/>
            </w:tcBorders>
            <w:hideMark/>
          </w:tcPr>
          <w:p w:rsidR="00252F43" w:rsidRPr="00870D7F" w:rsidRDefault="00252F43">
            <w:pPr>
              <w:spacing w:line="256" w:lineRule="auto"/>
              <w:jc w:val="center"/>
              <w:rPr>
                <w:b/>
                <w:bCs/>
                <w:sz w:val="24"/>
                <w:szCs w:val="24"/>
                <w:lang w:eastAsia="en-US"/>
              </w:rPr>
            </w:pPr>
            <w:r w:rsidRPr="00870D7F">
              <w:rPr>
                <w:b/>
                <w:bCs/>
                <w:sz w:val="24"/>
                <w:szCs w:val="24"/>
                <w:lang w:eastAsia="en-US"/>
              </w:rPr>
              <w:t>0</w:t>
            </w:r>
          </w:p>
        </w:tc>
        <w:tc>
          <w:tcPr>
            <w:tcW w:w="1500" w:type="dxa"/>
            <w:tcBorders>
              <w:top w:val="nil"/>
              <w:left w:val="nil"/>
              <w:bottom w:val="single" w:sz="4" w:space="0" w:color="auto"/>
              <w:right w:val="single" w:sz="4" w:space="0" w:color="auto"/>
            </w:tcBorders>
            <w:hideMark/>
          </w:tcPr>
          <w:p w:rsidR="00252F43" w:rsidRPr="00870D7F" w:rsidRDefault="00252F43">
            <w:pPr>
              <w:spacing w:line="256" w:lineRule="auto"/>
              <w:jc w:val="center"/>
              <w:rPr>
                <w:b/>
                <w:bCs/>
                <w:sz w:val="24"/>
                <w:szCs w:val="24"/>
                <w:lang w:eastAsia="en-US"/>
              </w:rPr>
            </w:pPr>
            <w:r w:rsidRPr="00870D7F">
              <w:rPr>
                <w:b/>
                <w:bCs/>
                <w:sz w:val="24"/>
                <w:szCs w:val="24"/>
                <w:lang w:eastAsia="en-US"/>
              </w:rPr>
              <w:t>0</w:t>
            </w:r>
          </w:p>
        </w:tc>
        <w:tc>
          <w:tcPr>
            <w:tcW w:w="3000" w:type="dxa"/>
            <w:tcBorders>
              <w:top w:val="nil"/>
              <w:left w:val="nil"/>
              <w:bottom w:val="single" w:sz="4" w:space="0" w:color="auto"/>
              <w:right w:val="single" w:sz="4" w:space="0" w:color="auto"/>
            </w:tcBorders>
            <w:noWrap/>
            <w:vAlign w:val="bottom"/>
            <w:hideMark/>
          </w:tcPr>
          <w:p w:rsidR="00252F43" w:rsidRPr="00870D7F" w:rsidRDefault="00252F43">
            <w:pPr>
              <w:spacing w:line="256" w:lineRule="auto"/>
              <w:rPr>
                <w:sz w:val="24"/>
                <w:szCs w:val="24"/>
                <w:lang w:eastAsia="en-US"/>
              </w:rPr>
            </w:pPr>
            <w:r w:rsidRPr="00870D7F">
              <w:rPr>
                <w:sz w:val="24"/>
                <w:szCs w:val="24"/>
                <w:lang w:eastAsia="en-US"/>
              </w:rPr>
              <w:t> </w:t>
            </w:r>
          </w:p>
        </w:tc>
      </w:tr>
      <w:tr w:rsidR="00252F43" w:rsidRPr="00870D7F" w:rsidTr="001A730A">
        <w:trPr>
          <w:trHeight w:val="255"/>
        </w:trPr>
        <w:tc>
          <w:tcPr>
            <w:tcW w:w="4950" w:type="dxa"/>
            <w:tcBorders>
              <w:top w:val="nil"/>
              <w:left w:val="single" w:sz="4" w:space="0" w:color="auto"/>
              <w:bottom w:val="single" w:sz="4" w:space="0" w:color="auto"/>
              <w:right w:val="single" w:sz="4" w:space="0" w:color="auto"/>
            </w:tcBorders>
            <w:hideMark/>
          </w:tcPr>
          <w:p w:rsidR="00252F43" w:rsidRPr="00870D7F" w:rsidRDefault="00252F43">
            <w:pPr>
              <w:spacing w:line="256" w:lineRule="auto"/>
              <w:rPr>
                <w:b/>
                <w:bCs/>
                <w:sz w:val="24"/>
                <w:szCs w:val="24"/>
                <w:lang w:eastAsia="en-US"/>
              </w:rPr>
            </w:pPr>
            <w:r w:rsidRPr="00870D7F">
              <w:rPr>
                <w:b/>
                <w:bCs/>
                <w:sz w:val="24"/>
                <w:szCs w:val="24"/>
                <w:lang w:eastAsia="en-US"/>
              </w:rPr>
              <w:t>Nedaňové príjmy (200)</w:t>
            </w:r>
            <w:r w:rsidRPr="00870D7F">
              <w:rPr>
                <w:b/>
                <w:bCs/>
                <w:sz w:val="24"/>
                <w:szCs w:val="24"/>
                <w:vertAlign w:val="superscript"/>
                <w:lang w:eastAsia="en-US"/>
              </w:rPr>
              <w:t>1</w:t>
            </w:r>
          </w:p>
        </w:tc>
        <w:tc>
          <w:tcPr>
            <w:tcW w:w="1500" w:type="dxa"/>
            <w:tcBorders>
              <w:top w:val="nil"/>
              <w:left w:val="nil"/>
              <w:bottom w:val="single" w:sz="4" w:space="0" w:color="auto"/>
              <w:right w:val="single" w:sz="4" w:space="0" w:color="auto"/>
            </w:tcBorders>
            <w:hideMark/>
          </w:tcPr>
          <w:p w:rsidR="00252F43" w:rsidRPr="00870D7F" w:rsidRDefault="00252F43">
            <w:pPr>
              <w:spacing w:line="256" w:lineRule="auto"/>
              <w:jc w:val="center"/>
              <w:rPr>
                <w:b/>
                <w:bCs/>
                <w:sz w:val="24"/>
                <w:szCs w:val="24"/>
                <w:lang w:eastAsia="en-US"/>
              </w:rPr>
            </w:pPr>
            <w:r w:rsidRPr="00870D7F">
              <w:rPr>
                <w:b/>
                <w:bCs/>
                <w:sz w:val="24"/>
                <w:szCs w:val="24"/>
                <w:lang w:eastAsia="en-US"/>
              </w:rPr>
              <w:t>0</w:t>
            </w:r>
          </w:p>
        </w:tc>
        <w:tc>
          <w:tcPr>
            <w:tcW w:w="1500" w:type="dxa"/>
            <w:tcBorders>
              <w:top w:val="nil"/>
              <w:left w:val="nil"/>
              <w:bottom w:val="single" w:sz="4" w:space="0" w:color="auto"/>
              <w:right w:val="single" w:sz="4" w:space="0" w:color="auto"/>
            </w:tcBorders>
            <w:hideMark/>
          </w:tcPr>
          <w:p w:rsidR="00252F43" w:rsidRPr="00870D7F" w:rsidRDefault="00252F43">
            <w:pPr>
              <w:spacing w:line="256" w:lineRule="auto"/>
              <w:jc w:val="center"/>
              <w:rPr>
                <w:b/>
                <w:bCs/>
                <w:sz w:val="24"/>
                <w:szCs w:val="24"/>
                <w:lang w:eastAsia="en-US"/>
              </w:rPr>
            </w:pPr>
            <w:r w:rsidRPr="00870D7F">
              <w:rPr>
                <w:b/>
                <w:bCs/>
                <w:sz w:val="24"/>
                <w:szCs w:val="24"/>
                <w:lang w:eastAsia="en-US"/>
              </w:rPr>
              <w:t>0</w:t>
            </w:r>
          </w:p>
        </w:tc>
        <w:tc>
          <w:tcPr>
            <w:tcW w:w="1500" w:type="dxa"/>
            <w:tcBorders>
              <w:top w:val="nil"/>
              <w:left w:val="nil"/>
              <w:bottom w:val="single" w:sz="4" w:space="0" w:color="auto"/>
              <w:right w:val="single" w:sz="4" w:space="0" w:color="auto"/>
            </w:tcBorders>
            <w:hideMark/>
          </w:tcPr>
          <w:p w:rsidR="00252F43" w:rsidRPr="00870D7F" w:rsidRDefault="00252F43">
            <w:pPr>
              <w:spacing w:line="256" w:lineRule="auto"/>
              <w:jc w:val="center"/>
              <w:rPr>
                <w:b/>
                <w:bCs/>
                <w:sz w:val="24"/>
                <w:szCs w:val="24"/>
                <w:lang w:eastAsia="en-US"/>
              </w:rPr>
            </w:pPr>
            <w:r w:rsidRPr="00870D7F">
              <w:rPr>
                <w:b/>
                <w:bCs/>
                <w:sz w:val="24"/>
                <w:szCs w:val="24"/>
                <w:lang w:eastAsia="en-US"/>
              </w:rPr>
              <w:t>0</w:t>
            </w:r>
          </w:p>
        </w:tc>
        <w:tc>
          <w:tcPr>
            <w:tcW w:w="1500" w:type="dxa"/>
            <w:tcBorders>
              <w:top w:val="nil"/>
              <w:left w:val="nil"/>
              <w:bottom w:val="single" w:sz="4" w:space="0" w:color="auto"/>
              <w:right w:val="single" w:sz="4" w:space="0" w:color="auto"/>
            </w:tcBorders>
            <w:hideMark/>
          </w:tcPr>
          <w:p w:rsidR="00252F43" w:rsidRPr="00870D7F" w:rsidRDefault="00252F43">
            <w:pPr>
              <w:spacing w:line="256" w:lineRule="auto"/>
              <w:jc w:val="center"/>
              <w:rPr>
                <w:b/>
                <w:bCs/>
                <w:sz w:val="24"/>
                <w:szCs w:val="24"/>
                <w:lang w:eastAsia="en-US"/>
              </w:rPr>
            </w:pPr>
            <w:r w:rsidRPr="00870D7F">
              <w:rPr>
                <w:b/>
                <w:bCs/>
                <w:sz w:val="24"/>
                <w:szCs w:val="24"/>
                <w:lang w:eastAsia="en-US"/>
              </w:rPr>
              <w:t>0</w:t>
            </w:r>
          </w:p>
        </w:tc>
        <w:tc>
          <w:tcPr>
            <w:tcW w:w="3000" w:type="dxa"/>
            <w:tcBorders>
              <w:top w:val="nil"/>
              <w:left w:val="nil"/>
              <w:bottom w:val="single" w:sz="4" w:space="0" w:color="auto"/>
              <w:right w:val="single" w:sz="4" w:space="0" w:color="auto"/>
            </w:tcBorders>
            <w:noWrap/>
            <w:vAlign w:val="bottom"/>
          </w:tcPr>
          <w:p w:rsidR="00252F43" w:rsidRPr="00870D7F" w:rsidRDefault="00252F43" w:rsidP="001A0D26">
            <w:pPr>
              <w:spacing w:line="256" w:lineRule="auto"/>
              <w:rPr>
                <w:sz w:val="24"/>
                <w:szCs w:val="24"/>
                <w:lang w:eastAsia="en-US"/>
              </w:rPr>
            </w:pPr>
          </w:p>
        </w:tc>
      </w:tr>
      <w:tr w:rsidR="00252F43" w:rsidRPr="00870D7F" w:rsidTr="00252F43">
        <w:trPr>
          <w:trHeight w:val="255"/>
        </w:trPr>
        <w:tc>
          <w:tcPr>
            <w:tcW w:w="4950" w:type="dxa"/>
            <w:tcBorders>
              <w:top w:val="nil"/>
              <w:left w:val="single" w:sz="4" w:space="0" w:color="auto"/>
              <w:bottom w:val="single" w:sz="4" w:space="0" w:color="auto"/>
              <w:right w:val="single" w:sz="4" w:space="0" w:color="auto"/>
            </w:tcBorders>
            <w:hideMark/>
          </w:tcPr>
          <w:p w:rsidR="00252F43" w:rsidRPr="00870D7F" w:rsidRDefault="00252F43">
            <w:pPr>
              <w:spacing w:line="256" w:lineRule="auto"/>
              <w:rPr>
                <w:b/>
                <w:bCs/>
                <w:sz w:val="24"/>
                <w:szCs w:val="24"/>
                <w:lang w:eastAsia="en-US"/>
              </w:rPr>
            </w:pPr>
            <w:r w:rsidRPr="00870D7F">
              <w:rPr>
                <w:b/>
                <w:bCs/>
                <w:sz w:val="24"/>
                <w:szCs w:val="24"/>
                <w:lang w:eastAsia="en-US"/>
              </w:rPr>
              <w:t>Granty a transfery (300)</w:t>
            </w:r>
            <w:r w:rsidRPr="00870D7F">
              <w:rPr>
                <w:b/>
                <w:bCs/>
                <w:sz w:val="24"/>
                <w:szCs w:val="24"/>
                <w:vertAlign w:val="superscript"/>
                <w:lang w:eastAsia="en-US"/>
              </w:rPr>
              <w:t>1</w:t>
            </w:r>
          </w:p>
        </w:tc>
        <w:tc>
          <w:tcPr>
            <w:tcW w:w="1500" w:type="dxa"/>
            <w:tcBorders>
              <w:top w:val="nil"/>
              <w:left w:val="nil"/>
              <w:bottom w:val="single" w:sz="4" w:space="0" w:color="auto"/>
              <w:right w:val="single" w:sz="4" w:space="0" w:color="auto"/>
            </w:tcBorders>
            <w:hideMark/>
          </w:tcPr>
          <w:p w:rsidR="00252F43" w:rsidRPr="00870D7F" w:rsidRDefault="00252F43">
            <w:pPr>
              <w:spacing w:line="256" w:lineRule="auto"/>
              <w:jc w:val="center"/>
              <w:rPr>
                <w:b/>
                <w:bCs/>
                <w:sz w:val="24"/>
                <w:szCs w:val="24"/>
                <w:lang w:eastAsia="en-US"/>
              </w:rPr>
            </w:pPr>
            <w:r w:rsidRPr="00870D7F">
              <w:rPr>
                <w:b/>
                <w:bCs/>
                <w:sz w:val="24"/>
                <w:szCs w:val="24"/>
                <w:lang w:eastAsia="en-US"/>
              </w:rPr>
              <w:t>0</w:t>
            </w:r>
          </w:p>
        </w:tc>
        <w:tc>
          <w:tcPr>
            <w:tcW w:w="1500" w:type="dxa"/>
            <w:tcBorders>
              <w:top w:val="nil"/>
              <w:left w:val="nil"/>
              <w:bottom w:val="single" w:sz="4" w:space="0" w:color="auto"/>
              <w:right w:val="single" w:sz="4" w:space="0" w:color="auto"/>
            </w:tcBorders>
            <w:hideMark/>
          </w:tcPr>
          <w:p w:rsidR="00252F43" w:rsidRPr="00870D7F" w:rsidRDefault="00252F43">
            <w:pPr>
              <w:spacing w:line="256" w:lineRule="auto"/>
              <w:jc w:val="center"/>
              <w:rPr>
                <w:b/>
                <w:bCs/>
                <w:sz w:val="24"/>
                <w:szCs w:val="24"/>
                <w:lang w:eastAsia="en-US"/>
              </w:rPr>
            </w:pPr>
            <w:r w:rsidRPr="00870D7F">
              <w:rPr>
                <w:b/>
                <w:bCs/>
                <w:sz w:val="24"/>
                <w:szCs w:val="24"/>
                <w:lang w:eastAsia="en-US"/>
              </w:rPr>
              <w:t>0</w:t>
            </w:r>
          </w:p>
        </w:tc>
        <w:tc>
          <w:tcPr>
            <w:tcW w:w="1500" w:type="dxa"/>
            <w:tcBorders>
              <w:top w:val="nil"/>
              <w:left w:val="nil"/>
              <w:bottom w:val="single" w:sz="4" w:space="0" w:color="auto"/>
              <w:right w:val="single" w:sz="4" w:space="0" w:color="auto"/>
            </w:tcBorders>
            <w:hideMark/>
          </w:tcPr>
          <w:p w:rsidR="00252F43" w:rsidRPr="00870D7F" w:rsidRDefault="00252F43">
            <w:pPr>
              <w:spacing w:line="256" w:lineRule="auto"/>
              <w:jc w:val="center"/>
              <w:rPr>
                <w:b/>
                <w:bCs/>
                <w:sz w:val="24"/>
                <w:szCs w:val="24"/>
                <w:lang w:eastAsia="en-US"/>
              </w:rPr>
            </w:pPr>
            <w:r w:rsidRPr="00870D7F">
              <w:rPr>
                <w:b/>
                <w:bCs/>
                <w:sz w:val="24"/>
                <w:szCs w:val="24"/>
                <w:lang w:eastAsia="en-US"/>
              </w:rPr>
              <w:t>0</w:t>
            </w:r>
          </w:p>
        </w:tc>
        <w:tc>
          <w:tcPr>
            <w:tcW w:w="1500" w:type="dxa"/>
            <w:tcBorders>
              <w:top w:val="nil"/>
              <w:left w:val="nil"/>
              <w:bottom w:val="single" w:sz="4" w:space="0" w:color="auto"/>
              <w:right w:val="single" w:sz="4" w:space="0" w:color="auto"/>
            </w:tcBorders>
            <w:hideMark/>
          </w:tcPr>
          <w:p w:rsidR="00252F43" w:rsidRPr="00870D7F" w:rsidRDefault="00252F43">
            <w:pPr>
              <w:spacing w:line="256" w:lineRule="auto"/>
              <w:jc w:val="center"/>
              <w:rPr>
                <w:b/>
                <w:bCs/>
                <w:sz w:val="24"/>
                <w:szCs w:val="24"/>
                <w:lang w:eastAsia="en-US"/>
              </w:rPr>
            </w:pPr>
            <w:r w:rsidRPr="00870D7F">
              <w:rPr>
                <w:b/>
                <w:bCs/>
                <w:sz w:val="24"/>
                <w:szCs w:val="24"/>
                <w:lang w:eastAsia="en-US"/>
              </w:rPr>
              <w:t>0</w:t>
            </w:r>
          </w:p>
        </w:tc>
        <w:tc>
          <w:tcPr>
            <w:tcW w:w="3000" w:type="dxa"/>
            <w:tcBorders>
              <w:top w:val="nil"/>
              <w:left w:val="nil"/>
              <w:bottom w:val="single" w:sz="4" w:space="0" w:color="auto"/>
              <w:right w:val="single" w:sz="4" w:space="0" w:color="auto"/>
            </w:tcBorders>
            <w:noWrap/>
            <w:vAlign w:val="bottom"/>
            <w:hideMark/>
          </w:tcPr>
          <w:p w:rsidR="00252F43" w:rsidRPr="00870D7F" w:rsidRDefault="00252F43">
            <w:pPr>
              <w:spacing w:line="256" w:lineRule="auto"/>
              <w:rPr>
                <w:sz w:val="24"/>
                <w:szCs w:val="24"/>
                <w:lang w:eastAsia="en-US"/>
              </w:rPr>
            </w:pPr>
            <w:r w:rsidRPr="00870D7F">
              <w:rPr>
                <w:sz w:val="24"/>
                <w:szCs w:val="24"/>
                <w:lang w:eastAsia="en-US"/>
              </w:rPr>
              <w:t> </w:t>
            </w:r>
          </w:p>
        </w:tc>
      </w:tr>
      <w:tr w:rsidR="00252F43" w:rsidRPr="00870D7F" w:rsidTr="00252F43">
        <w:trPr>
          <w:trHeight w:val="255"/>
        </w:trPr>
        <w:tc>
          <w:tcPr>
            <w:tcW w:w="4950" w:type="dxa"/>
            <w:tcBorders>
              <w:top w:val="nil"/>
              <w:left w:val="single" w:sz="4" w:space="0" w:color="auto"/>
              <w:bottom w:val="single" w:sz="4" w:space="0" w:color="auto"/>
              <w:right w:val="single" w:sz="4" w:space="0" w:color="auto"/>
            </w:tcBorders>
            <w:hideMark/>
          </w:tcPr>
          <w:p w:rsidR="00252F43" w:rsidRPr="00870D7F" w:rsidRDefault="00252F43">
            <w:pPr>
              <w:spacing w:line="256" w:lineRule="auto"/>
              <w:rPr>
                <w:b/>
                <w:bCs/>
                <w:sz w:val="24"/>
                <w:szCs w:val="24"/>
                <w:lang w:eastAsia="en-US"/>
              </w:rPr>
            </w:pPr>
            <w:r w:rsidRPr="00870D7F">
              <w:rPr>
                <w:b/>
                <w:bCs/>
                <w:sz w:val="24"/>
                <w:szCs w:val="24"/>
                <w:lang w:eastAsia="en-U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hideMark/>
          </w:tcPr>
          <w:p w:rsidR="00252F43" w:rsidRPr="00870D7F" w:rsidRDefault="00252F43">
            <w:pPr>
              <w:spacing w:line="256" w:lineRule="auto"/>
              <w:jc w:val="center"/>
              <w:rPr>
                <w:b/>
                <w:bCs/>
                <w:sz w:val="24"/>
                <w:szCs w:val="24"/>
                <w:lang w:eastAsia="en-US"/>
              </w:rPr>
            </w:pPr>
            <w:r w:rsidRPr="00870D7F">
              <w:rPr>
                <w:b/>
                <w:bCs/>
                <w:sz w:val="24"/>
                <w:szCs w:val="24"/>
                <w:lang w:eastAsia="en-US"/>
              </w:rPr>
              <w:t>0</w:t>
            </w:r>
          </w:p>
        </w:tc>
        <w:tc>
          <w:tcPr>
            <w:tcW w:w="1500" w:type="dxa"/>
            <w:tcBorders>
              <w:top w:val="nil"/>
              <w:left w:val="nil"/>
              <w:bottom w:val="single" w:sz="4" w:space="0" w:color="auto"/>
              <w:right w:val="single" w:sz="4" w:space="0" w:color="auto"/>
            </w:tcBorders>
            <w:shd w:val="clear" w:color="auto" w:fill="FFFF99"/>
            <w:hideMark/>
          </w:tcPr>
          <w:p w:rsidR="00252F43" w:rsidRPr="00870D7F" w:rsidRDefault="00252F43">
            <w:pPr>
              <w:spacing w:line="256" w:lineRule="auto"/>
              <w:jc w:val="center"/>
              <w:rPr>
                <w:b/>
                <w:bCs/>
                <w:sz w:val="24"/>
                <w:szCs w:val="24"/>
                <w:lang w:eastAsia="en-US"/>
              </w:rPr>
            </w:pPr>
            <w:r w:rsidRPr="00870D7F">
              <w:rPr>
                <w:b/>
                <w:bCs/>
                <w:sz w:val="24"/>
                <w:szCs w:val="24"/>
                <w:lang w:eastAsia="en-US"/>
              </w:rPr>
              <w:t>0</w:t>
            </w:r>
          </w:p>
        </w:tc>
        <w:tc>
          <w:tcPr>
            <w:tcW w:w="1500" w:type="dxa"/>
            <w:tcBorders>
              <w:top w:val="nil"/>
              <w:left w:val="nil"/>
              <w:bottom w:val="single" w:sz="4" w:space="0" w:color="auto"/>
              <w:right w:val="single" w:sz="4" w:space="0" w:color="auto"/>
            </w:tcBorders>
            <w:shd w:val="clear" w:color="auto" w:fill="FFFF99"/>
            <w:hideMark/>
          </w:tcPr>
          <w:p w:rsidR="00252F43" w:rsidRPr="00870D7F" w:rsidRDefault="00252F43">
            <w:pPr>
              <w:spacing w:line="256" w:lineRule="auto"/>
              <w:jc w:val="center"/>
              <w:rPr>
                <w:b/>
                <w:bCs/>
                <w:sz w:val="24"/>
                <w:szCs w:val="24"/>
                <w:lang w:eastAsia="en-US"/>
              </w:rPr>
            </w:pPr>
            <w:r w:rsidRPr="00870D7F">
              <w:rPr>
                <w:b/>
                <w:bCs/>
                <w:sz w:val="24"/>
                <w:szCs w:val="24"/>
                <w:lang w:eastAsia="en-US"/>
              </w:rPr>
              <w:t>0</w:t>
            </w:r>
          </w:p>
        </w:tc>
        <w:tc>
          <w:tcPr>
            <w:tcW w:w="1500" w:type="dxa"/>
            <w:tcBorders>
              <w:top w:val="nil"/>
              <w:left w:val="nil"/>
              <w:bottom w:val="single" w:sz="4" w:space="0" w:color="auto"/>
              <w:right w:val="single" w:sz="4" w:space="0" w:color="auto"/>
            </w:tcBorders>
            <w:shd w:val="clear" w:color="auto" w:fill="FFFF99"/>
            <w:hideMark/>
          </w:tcPr>
          <w:p w:rsidR="00252F43" w:rsidRPr="00870D7F" w:rsidRDefault="00252F43">
            <w:pPr>
              <w:spacing w:line="256" w:lineRule="auto"/>
              <w:jc w:val="center"/>
              <w:rPr>
                <w:b/>
                <w:bCs/>
                <w:sz w:val="24"/>
                <w:szCs w:val="24"/>
                <w:lang w:eastAsia="en-US"/>
              </w:rPr>
            </w:pPr>
            <w:r w:rsidRPr="00870D7F">
              <w:rPr>
                <w:b/>
                <w:bCs/>
                <w:sz w:val="24"/>
                <w:szCs w:val="24"/>
                <w:lang w:eastAsia="en-US"/>
              </w:rPr>
              <w:t xml:space="preserve"> 0 </w:t>
            </w:r>
          </w:p>
        </w:tc>
        <w:tc>
          <w:tcPr>
            <w:tcW w:w="3000" w:type="dxa"/>
            <w:tcBorders>
              <w:top w:val="nil"/>
              <w:left w:val="nil"/>
              <w:bottom w:val="single" w:sz="4" w:space="0" w:color="auto"/>
              <w:right w:val="single" w:sz="4" w:space="0" w:color="auto"/>
            </w:tcBorders>
            <w:noWrap/>
            <w:vAlign w:val="bottom"/>
            <w:hideMark/>
          </w:tcPr>
          <w:p w:rsidR="00252F43" w:rsidRPr="00870D7F" w:rsidRDefault="00252F43">
            <w:pPr>
              <w:spacing w:line="256" w:lineRule="auto"/>
              <w:rPr>
                <w:sz w:val="24"/>
                <w:szCs w:val="24"/>
                <w:lang w:eastAsia="en-US"/>
              </w:rPr>
            </w:pPr>
            <w:r w:rsidRPr="00870D7F">
              <w:rPr>
                <w:sz w:val="24"/>
                <w:szCs w:val="24"/>
                <w:lang w:eastAsia="en-US"/>
              </w:rPr>
              <w:t> </w:t>
            </w:r>
          </w:p>
        </w:tc>
      </w:tr>
      <w:tr w:rsidR="00252F43" w:rsidRPr="00870D7F" w:rsidTr="00252F43">
        <w:trPr>
          <w:trHeight w:val="255"/>
        </w:trPr>
        <w:tc>
          <w:tcPr>
            <w:tcW w:w="4950" w:type="dxa"/>
            <w:tcBorders>
              <w:top w:val="nil"/>
              <w:left w:val="single" w:sz="4" w:space="0" w:color="auto"/>
              <w:bottom w:val="single" w:sz="4" w:space="0" w:color="auto"/>
              <w:right w:val="single" w:sz="4" w:space="0" w:color="auto"/>
            </w:tcBorders>
            <w:hideMark/>
          </w:tcPr>
          <w:p w:rsidR="00252F43" w:rsidRPr="00870D7F" w:rsidRDefault="00252F43">
            <w:pPr>
              <w:spacing w:line="256" w:lineRule="auto"/>
              <w:rPr>
                <w:b/>
                <w:bCs/>
                <w:sz w:val="24"/>
                <w:szCs w:val="24"/>
                <w:lang w:eastAsia="en-US"/>
              </w:rPr>
            </w:pPr>
            <w:r w:rsidRPr="00870D7F">
              <w:rPr>
                <w:b/>
                <w:bCs/>
                <w:sz w:val="24"/>
                <w:szCs w:val="24"/>
                <w:lang w:eastAsia="en-U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hideMark/>
          </w:tcPr>
          <w:p w:rsidR="00252F43" w:rsidRPr="00870D7F" w:rsidRDefault="00252F43">
            <w:pPr>
              <w:spacing w:line="256" w:lineRule="auto"/>
              <w:jc w:val="center"/>
              <w:rPr>
                <w:b/>
                <w:bCs/>
                <w:sz w:val="24"/>
                <w:szCs w:val="24"/>
                <w:lang w:eastAsia="en-US"/>
              </w:rPr>
            </w:pPr>
            <w:r w:rsidRPr="00870D7F">
              <w:rPr>
                <w:b/>
                <w:bCs/>
                <w:sz w:val="24"/>
                <w:szCs w:val="24"/>
                <w:lang w:eastAsia="en-US"/>
              </w:rPr>
              <w:t xml:space="preserve"> 0 </w:t>
            </w:r>
          </w:p>
        </w:tc>
        <w:tc>
          <w:tcPr>
            <w:tcW w:w="1500" w:type="dxa"/>
            <w:tcBorders>
              <w:top w:val="nil"/>
              <w:left w:val="nil"/>
              <w:bottom w:val="single" w:sz="4" w:space="0" w:color="auto"/>
              <w:right w:val="single" w:sz="4" w:space="0" w:color="auto"/>
            </w:tcBorders>
            <w:shd w:val="clear" w:color="auto" w:fill="FFFF99"/>
            <w:hideMark/>
          </w:tcPr>
          <w:p w:rsidR="00252F43" w:rsidRPr="00870D7F" w:rsidRDefault="00252F43">
            <w:pPr>
              <w:spacing w:line="256" w:lineRule="auto"/>
              <w:jc w:val="center"/>
              <w:rPr>
                <w:b/>
                <w:bCs/>
                <w:sz w:val="24"/>
                <w:szCs w:val="24"/>
                <w:lang w:eastAsia="en-US"/>
              </w:rPr>
            </w:pPr>
            <w:r w:rsidRPr="00870D7F">
              <w:rPr>
                <w:b/>
                <w:bCs/>
                <w:sz w:val="24"/>
                <w:szCs w:val="24"/>
                <w:lang w:eastAsia="en-US"/>
              </w:rPr>
              <w:t>0</w:t>
            </w:r>
          </w:p>
        </w:tc>
        <w:tc>
          <w:tcPr>
            <w:tcW w:w="1500" w:type="dxa"/>
            <w:tcBorders>
              <w:top w:val="nil"/>
              <w:left w:val="nil"/>
              <w:bottom w:val="single" w:sz="4" w:space="0" w:color="auto"/>
              <w:right w:val="single" w:sz="4" w:space="0" w:color="auto"/>
            </w:tcBorders>
            <w:shd w:val="clear" w:color="auto" w:fill="FFFF99"/>
            <w:hideMark/>
          </w:tcPr>
          <w:p w:rsidR="00252F43" w:rsidRPr="00870D7F" w:rsidRDefault="00252F43">
            <w:pPr>
              <w:spacing w:line="256" w:lineRule="auto"/>
              <w:jc w:val="center"/>
              <w:rPr>
                <w:b/>
                <w:bCs/>
                <w:sz w:val="24"/>
                <w:szCs w:val="24"/>
                <w:lang w:eastAsia="en-US"/>
              </w:rPr>
            </w:pPr>
            <w:r w:rsidRPr="00870D7F">
              <w:rPr>
                <w:b/>
                <w:bCs/>
                <w:sz w:val="24"/>
                <w:szCs w:val="24"/>
                <w:lang w:eastAsia="en-US"/>
              </w:rPr>
              <w:t>0 </w:t>
            </w:r>
          </w:p>
        </w:tc>
        <w:tc>
          <w:tcPr>
            <w:tcW w:w="1500" w:type="dxa"/>
            <w:tcBorders>
              <w:top w:val="nil"/>
              <w:left w:val="nil"/>
              <w:bottom w:val="single" w:sz="4" w:space="0" w:color="auto"/>
              <w:right w:val="single" w:sz="4" w:space="0" w:color="auto"/>
            </w:tcBorders>
            <w:shd w:val="clear" w:color="auto" w:fill="FFFF99"/>
            <w:hideMark/>
          </w:tcPr>
          <w:p w:rsidR="00252F43" w:rsidRPr="00870D7F" w:rsidRDefault="00252F43">
            <w:pPr>
              <w:spacing w:line="256" w:lineRule="auto"/>
              <w:jc w:val="center"/>
              <w:rPr>
                <w:b/>
                <w:bCs/>
                <w:sz w:val="24"/>
                <w:szCs w:val="24"/>
                <w:lang w:eastAsia="en-US"/>
              </w:rPr>
            </w:pPr>
            <w:r w:rsidRPr="00870D7F">
              <w:rPr>
                <w:b/>
                <w:bCs/>
                <w:sz w:val="24"/>
                <w:szCs w:val="24"/>
                <w:lang w:eastAsia="en-US"/>
              </w:rPr>
              <w:t xml:space="preserve"> 0 </w:t>
            </w:r>
          </w:p>
        </w:tc>
        <w:tc>
          <w:tcPr>
            <w:tcW w:w="3000" w:type="dxa"/>
            <w:tcBorders>
              <w:top w:val="nil"/>
              <w:left w:val="nil"/>
              <w:bottom w:val="single" w:sz="4" w:space="0" w:color="auto"/>
              <w:right w:val="single" w:sz="4" w:space="0" w:color="auto"/>
            </w:tcBorders>
            <w:noWrap/>
            <w:vAlign w:val="bottom"/>
            <w:hideMark/>
          </w:tcPr>
          <w:p w:rsidR="00252F43" w:rsidRPr="00870D7F" w:rsidRDefault="00252F43">
            <w:pPr>
              <w:spacing w:line="256" w:lineRule="auto"/>
              <w:rPr>
                <w:sz w:val="24"/>
                <w:szCs w:val="24"/>
                <w:lang w:eastAsia="en-US"/>
              </w:rPr>
            </w:pPr>
            <w:r w:rsidRPr="00870D7F">
              <w:rPr>
                <w:sz w:val="24"/>
                <w:szCs w:val="24"/>
                <w:lang w:eastAsia="en-US"/>
              </w:rPr>
              <w:t> </w:t>
            </w:r>
          </w:p>
        </w:tc>
      </w:tr>
      <w:tr w:rsidR="00252F43" w:rsidRPr="00870D7F" w:rsidTr="00252F43">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hideMark/>
          </w:tcPr>
          <w:p w:rsidR="00252F43" w:rsidRPr="00870D7F" w:rsidRDefault="00252F43">
            <w:pPr>
              <w:spacing w:line="256" w:lineRule="auto"/>
              <w:rPr>
                <w:b/>
                <w:bCs/>
                <w:sz w:val="24"/>
                <w:szCs w:val="24"/>
                <w:lang w:eastAsia="en-US"/>
              </w:rPr>
            </w:pPr>
            <w:r w:rsidRPr="00870D7F">
              <w:rPr>
                <w:b/>
                <w:bCs/>
                <w:sz w:val="24"/>
                <w:szCs w:val="24"/>
                <w:lang w:eastAsia="en-US"/>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252F43" w:rsidRPr="00870D7F" w:rsidRDefault="00252F43">
            <w:pPr>
              <w:spacing w:line="256" w:lineRule="auto"/>
              <w:jc w:val="center"/>
              <w:rPr>
                <w:b/>
                <w:bCs/>
                <w:sz w:val="24"/>
                <w:szCs w:val="24"/>
                <w:lang w:eastAsia="en-US"/>
              </w:rPr>
            </w:pPr>
            <w:r w:rsidRPr="00870D7F">
              <w:rPr>
                <w:b/>
                <w:bCs/>
                <w:sz w:val="24"/>
                <w:szCs w:val="24"/>
                <w:lang w:eastAsia="en-US"/>
              </w:rPr>
              <w:t>0</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252F43" w:rsidRPr="00870D7F" w:rsidRDefault="00252F43">
            <w:pPr>
              <w:spacing w:line="256" w:lineRule="auto"/>
              <w:jc w:val="center"/>
              <w:rPr>
                <w:b/>
                <w:bCs/>
                <w:sz w:val="24"/>
                <w:szCs w:val="24"/>
                <w:lang w:eastAsia="en-US"/>
              </w:rPr>
            </w:pPr>
            <w:r w:rsidRPr="00870D7F">
              <w:rPr>
                <w:b/>
                <w:bCs/>
                <w:sz w:val="24"/>
                <w:szCs w:val="24"/>
                <w:lang w:eastAsia="en-US"/>
              </w:rPr>
              <w:t>0</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252F43" w:rsidRPr="00870D7F" w:rsidRDefault="00252F43">
            <w:pPr>
              <w:spacing w:line="256" w:lineRule="auto"/>
              <w:jc w:val="center"/>
              <w:rPr>
                <w:b/>
                <w:bCs/>
                <w:sz w:val="24"/>
                <w:szCs w:val="24"/>
                <w:lang w:eastAsia="en-US"/>
              </w:rPr>
            </w:pPr>
            <w:r w:rsidRPr="00870D7F">
              <w:rPr>
                <w:b/>
                <w:bCs/>
                <w:sz w:val="24"/>
                <w:szCs w:val="24"/>
                <w:lang w:eastAsia="en-US"/>
              </w:rPr>
              <w:t>0</w:t>
            </w:r>
          </w:p>
        </w:tc>
        <w:tc>
          <w:tcPr>
            <w:tcW w:w="1500" w:type="dxa"/>
            <w:tcBorders>
              <w:top w:val="nil"/>
              <w:left w:val="nil"/>
              <w:bottom w:val="single" w:sz="4" w:space="0" w:color="auto"/>
              <w:right w:val="single" w:sz="4" w:space="0" w:color="auto"/>
            </w:tcBorders>
            <w:shd w:val="clear" w:color="auto" w:fill="BFBFBF" w:themeFill="background1" w:themeFillShade="BF"/>
            <w:hideMark/>
          </w:tcPr>
          <w:p w:rsidR="00252F43" w:rsidRPr="00870D7F" w:rsidRDefault="00252F43">
            <w:pPr>
              <w:spacing w:line="256" w:lineRule="auto"/>
              <w:jc w:val="center"/>
              <w:rPr>
                <w:b/>
                <w:bCs/>
                <w:sz w:val="24"/>
                <w:szCs w:val="24"/>
                <w:lang w:eastAsia="en-US"/>
              </w:rPr>
            </w:pPr>
            <w:r w:rsidRPr="00870D7F">
              <w:rPr>
                <w:b/>
                <w:bCs/>
                <w:sz w:val="24"/>
                <w:szCs w:val="24"/>
                <w:lang w:eastAsia="en-US"/>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hideMark/>
          </w:tcPr>
          <w:p w:rsidR="00252F43" w:rsidRPr="00870D7F" w:rsidRDefault="00252F43">
            <w:pPr>
              <w:spacing w:line="256" w:lineRule="auto"/>
              <w:rPr>
                <w:sz w:val="24"/>
                <w:szCs w:val="24"/>
                <w:lang w:eastAsia="en-US"/>
              </w:rPr>
            </w:pPr>
            <w:r w:rsidRPr="00870D7F">
              <w:rPr>
                <w:sz w:val="24"/>
                <w:szCs w:val="24"/>
                <w:lang w:eastAsia="en-US"/>
              </w:rPr>
              <w:t> </w:t>
            </w:r>
          </w:p>
        </w:tc>
      </w:tr>
    </w:tbl>
    <w:tbl>
      <w:tblPr>
        <w:tblpPr w:leftFromText="141" w:rightFromText="141" w:bottomFromText="160" w:vertAnchor="text" w:horzAnchor="margin" w:tblpY="162"/>
        <w:tblW w:w="14104" w:type="dxa"/>
        <w:tblCellMar>
          <w:left w:w="70" w:type="dxa"/>
          <w:right w:w="70" w:type="dxa"/>
        </w:tblCellMar>
        <w:tblLook w:val="04A0" w:firstRow="1" w:lastRow="0" w:firstColumn="1" w:lastColumn="0" w:noHBand="0" w:noVBand="1"/>
      </w:tblPr>
      <w:tblGrid>
        <w:gridCol w:w="6150"/>
        <w:gridCol w:w="1540"/>
        <w:gridCol w:w="1540"/>
        <w:gridCol w:w="1540"/>
        <w:gridCol w:w="1540"/>
        <w:gridCol w:w="1794"/>
      </w:tblGrid>
      <w:tr w:rsidR="002800A2" w:rsidRPr="00870D7F" w:rsidTr="002800A2">
        <w:trPr>
          <w:cantSplit/>
          <w:trHeight w:val="255"/>
        </w:trPr>
        <w:tc>
          <w:tcPr>
            <w:tcW w:w="615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2800A2" w:rsidRPr="00870D7F" w:rsidRDefault="002800A2" w:rsidP="002800A2">
            <w:pPr>
              <w:spacing w:line="256" w:lineRule="auto"/>
              <w:jc w:val="center"/>
              <w:rPr>
                <w:b/>
                <w:bCs/>
                <w:lang w:eastAsia="en-US"/>
              </w:rPr>
            </w:pPr>
            <w:r w:rsidRPr="00870D7F">
              <w:rPr>
                <w:b/>
                <w:bCs/>
                <w:lang w:eastAsia="en-US"/>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hideMark/>
          </w:tcPr>
          <w:p w:rsidR="002800A2" w:rsidRPr="00870D7F" w:rsidRDefault="002800A2" w:rsidP="002800A2">
            <w:pPr>
              <w:spacing w:line="256" w:lineRule="auto"/>
              <w:jc w:val="center"/>
              <w:rPr>
                <w:b/>
                <w:bCs/>
                <w:lang w:eastAsia="en-US"/>
              </w:rPr>
            </w:pPr>
            <w:r w:rsidRPr="00870D7F">
              <w:rPr>
                <w:b/>
                <w:bCs/>
                <w:lang w:eastAsia="en-US"/>
              </w:rPr>
              <w:t>Vplyv na rozpočet verejnej správy</w:t>
            </w:r>
          </w:p>
        </w:tc>
        <w:tc>
          <w:tcPr>
            <w:tcW w:w="179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800A2" w:rsidRPr="00870D7F" w:rsidRDefault="002800A2" w:rsidP="002800A2">
            <w:pPr>
              <w:spacing w:line="256" w:lineRule="auto"/>
              <w:jc w:val="center"/>
              <w:rPr>
                <w:b/>
                <w:bCs/>
                <w:sz w:val="24"/>
                <w:szCs w:val="24"/>
                <w:lang w:eastAsia="en-US"/>
              </w:rPr>
            </w:pPr>
            <w:r w:rsidRPr="00870D7F">
              <w:rPr>
                <w:b/>
                <w:bCs/>
                <w:sz w:val="24"/>
                <w:szCs w:val="24"/>
                <w:lang w:eastAsia="en-US"/>
              </w:rPr>
              <w:t>poznámka</w:t>
            </w:r>
          </w:p>
        </w:tc>
      </w:tr>
      <w:tr w:rsidR="002800A2" w:rsidRPr="00870D7F" w:rsidTr="002800A2">
        <w:trPr>
          <w:cantSplit/>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800A2" w:rsidRPr="00870D7F" w:rsidRDefault="002800A2" w:rsidP="002800A2">
            <w:pPr>
              <w:spacing w:line="256" w:lineRule="auto"/>
              <w:rPr>
                <w:b/>
                <w:bCs/>
                <w:lang w:eastAsia="en-US"/>
              </w:rPr>
            </w:pPr>
          </w:p>
        </w:tc>
        <w:tc>
          <w:tcPr>
            <w:tcW w:w="1540" w:type="dxa"/>
            <w:tcBorders>
              <w:top w:val="nil"/>
              <w:left w:val="nil"/>
              <w:bottom w:val="single" w:sz="4" w:space="0" w:color="auto"/>
              <w:right w:val="single" w:sz="4" w:space="0" w:color="auto"/>
            </w:tcBorders>
            <w:shd w:val="clear" w:color="auto" w:fill="BFBFBF" w:themeFill="background1" w:themeFillShade="BF"/>
            <w:hideMark/>
          </w:tcPr>
          <w:p w:rsidR="002800A2" w:rsidRPr="00870D7F" w:rsidRDefault="002800A2" w:rsidP="002800A2">
            <w:pPr>
              <w:spacing w:line="256" w:lineRule="auto"/>
              <w:jc w:val="center"/>
              <w:rPr>
                <w:b/>
                <w:bCs/>
                <w:lang w:eastAsia="en-US"/>
              </w:rPr>
            </w:pPr>
            <w:r w:rsidRPr="00870D7F">
              <w:rPr>
                <w:b/>
                <w:bCs/>
                <w:lang w:eastAsia="en-US"/>
              </w:rPr>
              <w:t>2018</w:t>
            </w:r>
          </w:p>
        </w:tc>
        <w:tc>
          <w:tcPr>
            <w:tcW w:w="1540" w:type="dxa"/>
            <w:tcBorders>
              <w:top w:val="nil"/>
              <w:left w:val="nil"/>
              <w:bottom w:val="single" w:sz="4" w:space="0" w:color="auto"/>
              <w:right w:val="single" w:sz="4" w:space="0" w:color="auto"/>
            </w:tcBorders>
            <w:shd w:val="clear" w:color="auto" w:fill="BFBFBF" w:themeFill="background1" w:themeFillShade="BF"/>
            <w:hideMark/>
          </w:tcPr>
          <w:p w:rsidR="002800A2" w:rsidRPr="00870D7F" w:rsidRDefault="002800A2" w:rsidP="002800A2">
            <w:pPr>
              <w:spacing w:line="256" w:lineRule="auto"/>
              <w:jc w:val="center"/>
              <w:rPr>
                <w:b/>
                <w:bCs/>
                <w:lang w:eastAsia="en-US"/>
              </w:rPr>
            </w:pPr>
            <w:r w:rsidRPr="00870D7F">
              <w:rPr>
                <w:b/>
                <w:bCs/>
                <w:lang w:eastAsia="en-US"/>
              </w:rPr>
              <w:t>2019</w:t>
            </w:r>
          </w:p>
        </w:tc>
        <w:tc>
          <w:tcPr>
            <w:tcW w:w="1540" w:type="dxa"/>
            <w:tcBorders>
              <w:top w:val="nil"/>
              <w:left w:val="nil"/>
              <w:bottom w:val="single" w:sz="4" w:space="0" w:color="auto"/>
              <w:right w:val="single" w:sz="4" w:space="0" w:color="auto"/>
            </w:tcBorders>
            <w:shd w:val="clear" w:color="auto" w:fill="BFBFBF" w:themeFill="background1" w:themeFillShade="BF"/>
            <w:hideMark/>
          </w:tcPr>
          <w:p w:rsidR="002800A2" w:rsidRPr="00870D7F" w:rsidRDefault="002800A2" w:rsidP="002800A2">
            <w:pPr>
              <w:spacing w:line="256" w:lineRule="auto"/>
              <w:jc w:val="center"/>
              <w:rPr>
                <w:b/>
                <w:bCs/>
                <w:lang w:eastAsia="en-US"/>
              </w:rPr>
            </w:pPr>
            <w:r w:rsidRPr="00870D7F">
              <w:rPr>
                <w:b/>
                <w:bCs/>
                <w:lang w:eastAsia="en-US"/>
              </w:rPr>
              <w:t>2020</w:t>
            </w:r>
          </w:p>
        </w:tc>
        <w:tc>
          <w:tcPr>
            <w:tcW w:w="1540" w:type="dxa"/>
            <w:tcBorders>
              <w:top w:val="nil"/>
              <w:left w:val="nil"/>
              <w:bottom w:val="single" w:sz="4" w:space="0" w:color="auto"/>
              <w:right w:val="single" w:sz="4" w:space="0" w:color="auto"/>
            </w:tcBorders>
            <w:shd w:val="clear" w:color="auto" w:fill="BFBFBF" w:themeFill="background1" w:themeFillShade="BF"/>
            <w:hideMark/>
          </w:tcPr>
          <w:p w:rsidR="002800A2" w:rsidRPr="00870D7F" w:rsidRDefault="002800A2" w:rsidP="002800A2">
            <w:pPr>
              <w:spacing w:line="256" w:lineRule="auto"/>
              <w:jc w:val="center"/>
              <w:rPr>
                <w:b/>
                <w:bCs/>
                <w:sz w:val="24"/>
                <w:szCs w:val="24"/>
                <w:lang w:eastAsia="en-US"/>
              </w:rPr>
            </w:pPr>
            <w:r w:rsidRPr="00870D7F">
              <w:rPr>
                <w:b/>
                <w:bCs/>
                <w:sz w:val="24"/>
                <w:szCs w:val="24"/>
                <w:lang w:eastAsia="en-US"/>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800A2" w:rsidRPr="00870D7F" w:rsidRDefault="002800A2" w:rsidP="002800A2">
            <w:pPr>
              <w:spacing w:line="256" w:lineRule="auto"/>
              <w:rPr>
                <w:b/>
                <w:bCs/>
                <w:sz w:val="24"/>
                <w:szCs w:val="24"/>
                <w:lang w:eastAsia="en-US"/>
              </w:rPr>
            </w:pPr>
          </w:p>
        </w:tc>
      </w:tr>
      <w:tr w:rsidR="002800A2" w:rsidRPr="00870D7F" w:rsidTr="002800A2">
        <w:trPr>
          <w:trHeight w:val="255"/>
        </w:trPr>
        <w:tc>
          <w:tcPr>
            <w:tcW w:w="6150" w:type="dxa"/>
            <w:tcBorders>
              <w:top w:val="nil"/>
              <w:left w:val="single" w:sz="4" w:space="0" w:color="auto"/>
              <w:bottom w:val="single" w:sz="4" w:space="0" w:color="auto"/>
              <w:right w:val="single" w:sz="4" w:space="0" w:color="auto"/>
            </w:tcBorders>
            <w:hideMark/>
          </w:tcPr>
          <w:p w:rsidR="002800A2" w:rsidRPr="00870D7F" w:rsidRDefault="002800A2" w:rsidP="002800A2">
            <w:pPr>
              <w:spacing w:line="256" w:lineRule="auto"/>
              <w:rPr>
                <w:b/>
                <w:bCs/>
                <w:lang w:eastAsia="en-US"/>
              </w:rPr>
            </w:pPr>
            <w:r w:rsidRPr="00870D7F">
              <w:rPr>
                <w:b/>
                <w:bCs/>
                <w:lang w:eastAsia="en-US"/>
              </w:rPr>
              <w:t>Bežné výdavky (600)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b/>
                <w:bCs/>
                <w:lang w:eastAsia="en-US"/>
              </w:rPr>
            </w:pPr>
            <w:r w:rsidRPr="00870D7F">
              <w:rPr>
                <w:b/>
                <w:bCs/>
                <w:lang w:eastAsia="en-US"/>
              </w:rPr>
              <w:t>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b/>
                <w:bCs/>
                <w:lang w:eastAsia="en-US"/>
              </w:rPr>
            </w:pPr>
            <w:r w:rsidRPr="00870D7F">
              <w:rPr>
                <w:b/>
                <w:bCs/>
                <w:lang w:eastAsia="en-US"/>
              </w:rPr>
              <w:t>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b/>
                <w:bCs/>
                <w:lang w:eastAsia="en-US"/>
              </w:rPr>
            </w:pPr>
            <w:r w:rsidRPr="00870D7F">
              <w:rPr>
                <w:b/>
                <w:bCs/>
                <w:lang w:eastAsia="en-US"/>
              </w:rPr>
              <w:t>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b/>
                <w:bCs/>
                <w:lang w:eastAsia="en-US"/>
              </w:rPr>
            </w:pPr>
            <w:r w:rsidRPr="00870D7F">
              <w:rPr>
                <w:b/>
                <w:bCs/>
                <w:lang w:eastAsia="en-US"/>
              </w:rPr>
              <w:t>0</w:t>
            </w:r>
          </w:p>
        </w:tc>
        <w:tc>
          <w:tcPr>
            <w:tcW w:w="1794" w:type="dxa"/>
            <w:tcBorders>
              <w:top w:val="nil"/>
              <w:left w:val="nil"/>
              <w:bottom w:val="single" w:sz="4" w:space="0" w:color="auto"/>
              <w:right w:val="single" w:sz="4" w:space="0" w:color="auto"/>
            </w:tcBorders>
            <w:noWrap/>
            <w:vAlign w:val="bottom"/>
            <w:hideMark/>
          </w:tcPr>
          <w:p w:rsidR="002800A2" w:rsidRPr="00870D7F" w:rsidRDefault="002800A2" w:rsidP="002800A2">
            <w:pPr>
              <w:spacing w:line="256" w:lineRule="auto"/>
              <w:rPr>
                <w:sz w:val="24"/>
                <w:szCs w:val="24"/>
                <w:lang w:eastAsia="en-US"/>
              </w:rPr>
            </w:pPr>
            <w:r w:rsidRPr="00870D7F">
              <w:rPr>
                <w:sz w:val="24"/>
                <w:szCs w:val="24"/>
                <w:lang w:eastAsia="en-US"/>
              </w:rPr>
              <w:t> </w:t>
            </w:r>
          </w:p>
        </w:tc>
      </w:tr>
      <w:tr w:rsidR="002800A2" w:rsidRPr="00870D7F" w:rsidTr="002800A2">
        <w:trPr>
          <w:trHeight w:val="255"/>
        </w:trPr>
        <w:tc>
          <w:tcPr>
            <w:tcW w:w="6150" w:type="dxa"/>
            <w:tcBorders>
              <w:top w:val="nil"/>
              <w:left w:val="single" w:sz="4" w:space="0" w:color="auto"/>
              <w:bottom w:val="single" w:sz="4" w:space="0" w:color="auto"/>
              <w:right w:val="single" w:sz="4" w:space="0" w:color="auto"/>
            </w:tcBorders>
            <w:hideMark/>
          </w:tcPr>
          <w:p w:rsidR="002800A2" w:rsidRPr="00870D7F" w:rsidRDefault="002800A2" w:rsidP="002800A2">
            <w:pPr>
              <w:spacing w:line="256" w:lineRule="auto"/>
              <w:rPr>
                <w:lang w:eastAsia="en-US"/>
              </w:rPr>
            </w:pPr>
            <w:r w:rsidRPr="00870D7F">
              <w:rPr>
                <w:lang w:eastAsia="en-US"/>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794" w:type="dxa"/>
            <w:tcBorders>
              <w:top w:val="nil"/>
              <w:left w:val="nil"/>
              <w:bottom w:val="single" w:sz="4" w:space="0" w:color="auto"/>
              <w:right w:val="single" w:sz="4" w:space="0" w:color="auto"/>
            </w:tcBorders>
            <w:noWrap/>
            <w:vAlign w:val="bottom"/>
            <w:hideMark/>
          </w:tcPr>
          <w:p w:rsidR="002800A2" w:rsidRPr="00870D7F" w:rsidRDefault="002800A2" w:rsidP="002800A2">
            <w:pPr>
              <w:spacing w:line="256" w:lineRule="auto"/>
              <w:jc w:val="right"/>
              <w:rPr>
                <w:sz w:val="24"/>
                <w:szCs w:val="24"/>
                <w:lang w:eastAsia="en-US"/>
              </w:rPr>
            </w:pPr>
            <w:r w:rsidRPr="00870D7F">
              <w:rPr>
                <w:sz w:val="24"/>
                <w:szCs w:val="24"/>
                <w:lang w:eastAsia="en-US"/>
              </w:rPr>
              <w:t> </w:t>
            </w:r>
          </w:p>
        </w:tc>
      </w:tr>
      <w:tr w:rsidR="002800A2" w:rsidRPr="00870D7F" w:rsidTr="002800A2">
        <w:trPr>
          <w:trHeight w:val="255"/>
        </w:trPr>
        <w:tc>
          <w:tcPr>
            <w:tcW w:w="6150" w:type="dxa"/>
            <w:tcBorders>
              <w:top w:val="nil"/>
              <w:left w:val="single" w:sz="4" w:space="0" w:color="auto"/>
              <w:bottom w:val="single" w:sz="4" w:space="0" w:color="auto"/>
              <w:right w:val="single" w:sz="4" w:space="0" w:color="auto"/>
            </w:tcBorders>
            <w:hideMark/>
          </w:tcPr>
          <w:p w:rsidR="002800A2" w:rsidRPr="00870D7F" w:rsidRDefault="002800A2" w:rsidP="002800A2">
            <w:pPr>
              <w:spacing w:line="256" w:lineRule="auto"/>
              <w:rPr>
                <w:vertAlign w:val="superscript"/>
                <w:lang w:eastAsia="en-US"/>
              </w:rPr>
            </w:pPr>
            <w:r w:rsidRPr="00870D7F">
              <w:rPr>
                <w:lang w:eastAsia="en-US"/>
              </w:rPr>
              <w:t xml:space="preserve">  Poistné a príspevok do poisťovní (620)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794" w:type="dxa"/>
            <w:tcBorders>
              <w:top w:val="nil"/>
              <w:left w:val="nil"/>
              <w:bottom w:val="single" w:sz="4" w:space="0" w:color="auto"/>
              <w:right w:val="single" w:sz="4" w:space="0" w:color="auto"/>
            </w:tcBorders>
            <w:noWrap/>
            <w:vAlign w:val="bottom"/>
            <w:hideMark/>
          </w:tcPr>
          <w:p w:rsidR="002800A2" w:rsidRPr="00870D7F" w:rsidRDefault="002800A2" w:rsidP="002800A2">
            <w:pPr>
              <w:spacing w:line="256" w:lineRule="auto"/>
              <w:jc w:val="right"/>
              <w:rPr>
                <w:sz w:val="24"/>
                <w:szCs w:val="24"/>
                <w:lang w:eastAsia="en-US"/>
              </w:rPr>
            </w:pPr>
            <w:r w:rsidRPr="00870D7F">
              <w:rPr>
                <w:sz w:val="24"/>
                <w:szCs w:val="24"/>
                <w:lang w:eastAsia="en-US"/>
              </w:rPr>
              <w:t> </w:t>
            </w:r>
          </w:p>
        </w:tc>
      </w:tr>
      <w:tr w:rsidR="002800A2" w:rsidRPr="00870D7F" w:rsidTr="002800A2">
        <w:trPr>
          <w:trHeight w:val="255"/>
        </w:trPr>
        <w:tc>
          <w:tcPr>
            <w:tcW w:w="6150" w:type="dxa"/>
            <w:tcBorders>
              <w:top w:val="nil"/>
              <w:left w:val="single" w:sz="4" w:space="0" w:color="auto"/>
              <w:bottom w:val="single" w:sz="4" w:space="0" w:color="auto"/>
              <w:right w:val="single" w:sz="4" w:space="0" w:color="auto"/>
            </w:tcBorders>
            <w:hideMark/>
          </w:tcPr>
          <w:p w:rsidR="002800A2" w:rsidRPr="00870D7F" w:rsidRDefault="002800A2" w:rsidP="002800A2">
            <w:pPr>
              <w:spacing w:line="256" w:lineRule="auto"/>
              <w:rPr>
                <w:vertAlign w:val="superscript"/>
                <w:lang w:eastAsia="en-US"/>
              </w:rPr>
            </w:pPr>
            <w:r w:rsidRPr="00870D7F">
              <w:rPr>
                <w:lang w:eastAsia="en-US"/>
              </w:rPr>
              <w:t xml:space="preserve">  Tovary a služby (630)</w:t>
            </w:r>
            <w:r w:rsidRPr="00870D7F">
              <w:rPr>
                <w:vertAlign w:val="superscript"/>
                <w:lang w:eastAsia="en-US"/>
              </w:rPr>
              <w:t>2</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794" w:type="dxa"/>
            <w:tcBorders>
              <w:top w:val="nil"/>
              <w:left w:val="nil"/>
              <w:bottom w:val="single" w:sz="4" w:space="0" w:color="auto"/>
              <w:right w:val="single" w:sz="4" w:space="0" w:color="auto"/>
            </w:tcBorders>
            <w:noWrap/>
            <w:vAlign w:val="bottom"/>
            <w:hideMark/>
          </w:tcPr>
          <w:p w:rsidR="002800A2" w:rsidRPr="00870D7F" w:rsidRDefault="002800A2" w:rsidP="002800A2">
            <w:pPr>
              <w:spacing w:line="256" w:lineRule="auto"/>
              <w:jc w:val="right"/>
              <w:rPr>
                <w:sz w:val="24"/>
                <w:szCs w:val="24"/>
                <w:lang w:eastAsia="en-US"/>
              </w:rPr>
            </w:pPr>
            <w:r w:rsidRPr="00870D7F">
              <w:rPr>
                <w:sz w:val="24"/>
                <w:szCs w:val="24"/>
                <w:lang w:eastAsia="en-US"/>
              </w:rPr>
              <w:t> </w:t>
            </w:r>
          </w:p>
        </w:tc>
      </w:tr>
      <w:tr w:rsidR="002800A2" w:rsidRPr="00870D7F" w:rsidTr="002800A2">
        <w:trPr>
          <w:trHeight w:val="255"/>
        </w:trPr>
        <w:tc>
          <w:tcPr>
            <w:tcW w:w="6150" w:type="dxa"/>
            <w:tcBorders>
              <w:top w:val="nil"/>
              <w:left w:val="single" w:sz="4" w:space="0" w:color="auto"/>
              <w:bottom w:val="single" w:sz="4" w:space="0" w:color="auto"/>
              <w:right w:val="single" w:sz="4" w:space="0" w:color="auto"/>
            </w:tcBorders>
            <w:hideMark/>
          </w:tcPr>
          <w:p w:rsidR="002800A2" w:rsidRPr="00870D7F" w:rsidRDefault="002800A2" w:rsidP="002800A2">
            <w:pPr>
              <w:spacing w:line="256" w:lineRule="auto"/>
              <w:rPr>
                <w:lang w:eastAsia="en-US"/>
              </w:rPr>
            </w:pPr>
            <w:r w:rsidRPr="00870D7F">
              <w:rPr>
                <w:lang w:eastAsia="en-US"/>
              </w:rPr>
              <w:t xml:space="preserve">  Bežné transfery (640)</w:t>
            </w:r>
            <w:r w:rsidRPr="00870D7F">
              <w:rPr>
                <w:vertAlign w:val="superscript"/>
                <w:lang w:eastAsia="en-US"/>
              </w:rPr>
              <w:t>2</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794" w:type="dxa"/>
            <w:tcBorders>
              <w:top w:val="nil"/>
              <w:left w:val="nil"/>
              <w:bottom w:val="single" w:sz="4" w:space="0" w:color="auto"/>
              <w:right w:val="single" w:sz="4" w:space="0" w:color="auto"/>
            </w:tcBorders>
            <w:noWrap/>
            <w:vAlign w:val="bottom"/>
            <w:hideMark/>
          </w:tcPr>
          <w:p w:rsidR="002800A2" w:rsidRPr="00870D7F" w:rsidRDefault="002800A2" w:rsidP="002800A2">
            <w:pPr>
              <w:spacing w:line="256" w:lineRule="auto"/>
              <w:jc w:val="right"/>
              <w:rPr>
                <w:sz w:val="24"/>
                <w:szCs w:val="24"/>
                <w:lang w:eastAsia="en-US"/>
              </w:rPr>
            </w:pPr>
            <w:r w:rsidRPr="00870D7F">
              <w:rPr>
                <w:sz w:val="24"/>
                <w:szCs w:val="24"/>
                <w:lang w:eastAsia="en-US"/>
              </w:rPr>
              <w:t> </w:t>
            </w:r>
          </w:p>
        </w:tc>
      </w:tr>
      <w:tr w:rsidR="002800A2" w:rsidRPr="00870D7F" w:rsidTr="002800A2">
        <w:trPr>
          <w:trHeight w:val="255"/>
        </w:trPr>
        <w:tc>
          <w:tcPr>
            <w:tcW w:w="6150" w:type="dxa"/>
            <w:tcBorders>
              <w:top w:val="nil"/>
              <w:left w:val="single" w:sz="4" w:space="0" w:color="auto"/>
              <w:bottom w:val="single" w:sz="4" w:space="0" w:color="auto"/>
              <w:right w:val="single" w:sz="4" w:space="0" w:color="auto"/>
            </w:tcBorders>
            <w:vAlign w:val="center"/>
            <w:hideMark/>
          </w:tcPr>
          <w:p w:rsidR="002800A2" w:rsidRPr="00870D7F" w:rsidRDefault="002800A2" w:rsidP="002800A2">
            <w:pPr>
              <w:spacing w:line="256" w:lineRule="auto"/>
              <w:rPr>
                <w:lang w:eastAsia="en-US"/>
              </w:rPr>
            </w:pPr>
            <w:r w:rsidRPr="00870D7F">
              <w:rPr>
                <w:lang w:eastAsia="en-US"/>
              </w:rPr>
              <w:t xml:space="preserve">  Splácanie úrokov a ostatné platby súvisiace s úverom, pôžičkou, návratnou finančnou výpomocou a finančným prenájmom (650)</w:t>
            </w:r>
            <w:r w:rsidRPr="00870D7F">
              <w:rPr>
                <w:vertAlign w:val="superscript"/>
                <w:lang w:eastAsia="en-US"/>
              </w:rPr>
              <w:t>2</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794" w:type="dxa"/>
            <w:tcBorders>
              <w:top w:val="nil"/>
              <w:left w:val="nil"/>
              <w:bottom w:val="single" w:sz="4" w:space="0" w:color="auto"/>
              <w:right w:val="single" w:sz="4" w:space="0" w:color="auto"/>
            </w:tcBorders>
            <w:noWrap/>
            <w:vAlign w:val="bottom"/>
          </w:tcPr>
          <w:p w:rsidR="002800A2" w:rsidRPr="00870D7F" w:rsidRDefault="002800A2" w:rsidP="002800A2">
            <w:pPr>
              <w:spacing w:line="256" w:lineRule="auto"/>
              <w:jc w:val="right"/>
              <w:rPr>
                <w:sz w:val="24"/>
                <w:szCs w:val="24"/>
                <w:lang w:eastAsia="en-US"/>
              </w:rPr>
            </w:pPr>
          </w:p>
        </w:tc>
      </w:tr>
      <w:tr w:rsidR="002800A2" w:rsidRPr="00870D7F" w:rsidTr="002800A2">
        <w:trPr>
          <w:trHeight w:val="255"/>
        </w:trPr>
        <w:tc>
          <w:tcPr>
            <w:tcW w:w="6150" w:type="dxa"/>
            <w:tcBorders>
              <w:top w:val="nil"/>
              <w:left w:val="single" w:sz="4" w:space="0" w:color="auto"/>
              <w:bottom w:val="single" w:sz="4" w:space="0" w:color="auto"/>
              <w:right w:val="single" w:sz="4" w:space="0" w:color="auto"/>
            </w:tcBorders>
            <w:hideMark/>
          </w:tcPr>
          <w:p w:rsidR="002800A2" w:rsidRPr="00870D7F" w:rsidRDefault="002800A2" w:rsidP="002800A2">
            <w:pPr>
              <w:spacing w:line="256" w:lineRule="auto"/>
              <w:rPr>
                <w:b/>
                <w:bCs/>
                <w:lang w:eastAsia="en-US"/>
              </w:rPr>
            </w:pPr>
            <w:r w:rsidRPr="00870D7F">
              <w:rPr>
                <w:b/>
                <w:bCs/>
                <w:lang w:eastAsia="en-US"/>
              </w:rPr>
              <w:t>Kapitálové výdavky (700)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b/>
                <w:bCs/>
                <w:lang w:eastAsia="en-US"/>
              </w:rPr>
            </w:pPr>
            <w:r w:rsidRPr="00870D7F">
              <w:rPr>
                <w:b/>
                <w:bCs/>
                <w:lang w:eastAsia="en-US"/>
              </w:rPr>
              <w:t>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b/>
                <w:bCs/>
                <w:lang w:eastAsia="en-US"/>
              </w:rPr>
            </w:pPr>
            <w:r w:rsidRPr="00870D7F">
              <w:rPr>
                <w:b/>
                <w:bCs/>
                <w:lang w:eastAsia="en-US"/>
              </w:rPr>
              <w:t>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b/>
                <w:bCs/>
                <w:lang w:eastAsia="en-US"/>
              </w:rPr>
            </w:pPr>
            <w:r w:rsidRPr="00870D7F">
              <w:rPr>
                <w:b/>
                <w:bCs/>
                <w:lang w:eastAsia="en-US"/>
              </w:rPr>
              <w:t>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b/>
                <w:bCs/>
                <w:lang w:eastAsia="en-US"/>
              </w:rPr>
            </w:pPr>
            <w:r w:rsidRPr="00870D7F">
              <w:rPr>
                <w:b/>
                <w:bCs/>
                <w:lang w:eastAsia="en-US"/>
              </w:rPr>
              <w:t>0</w:t>
            </w:r>
          </w:p>
        </w:tc>
        <w:tc>
          <w:tcPr>
            <w:tcW w:w="1794" w:type="dxa"/>
            <w:tcBorders>
              <w:top w:val="nil"/>
              <w:left w:val="nil"/>
              <w:bottom w:val="single" w:sz="4" w:space="0" w:color="auto"/>
              <w:right w:val="single" w:sz="4" w:space="0" w:color="auto"/>
            </w:tcBorders>
            <w:noWrap/>
            <w:vAlign w:val="bottom"/>
            <w:hideMark/>
          </w:tcPr>
          <w:p w:rsidR="002800A2" w:rsidRPr="00870D7F" w:rsidRDefault="002800A2" w:rsidP="002800A2">
            <w:pPr>
              <w:spacing w:line="256" w:lineRule="auto"/>
              <w:jc w:val="right"/>
              <w:rPr>
                <w:sz w:val="24"/>
                <w:szCs w:val="24"/>
                <w:lang w:eastAsia="en-US"/>
              </w:rPr>
            </w:pPr>
            <w:r w:rsidRPr="00870D7F">
              <w:rPr>
                <w:sz w:val="24"/>
                <w:szCs w:val="24"/>
                <w:lang w:eastAsia="en-US"/>
              </w:rPr>
              <w:t> </w:t>
            </w:r>
          </w:p>
        </w:tc>
      </w:tr>
      <w:tr w:rsidR="002800A2" w:rsidRPr="00870D7F" w:rsidTr="002800A2">
        <w:trPr>
          <w:trHeight w:val="255"/>
        </w:trPr>
        <w:tc>
          <w:tcPr>
            <w:tcW w:w="6150" w:type="dxa"/>
            <w:tcBorders>
              <w:top w:val="nil"/>
              <w:left w:val="single" w:sz="4" w:space="0" w:color="auto"/>
              <w:bottom w:val="single" w:sz="4" w:space="0" w:color="auto"/>
              <w:right w:val="single" w:sz="4" w:space="0" w:color="auto"/>
            </w:tcBorders>
            <w:hideMark/>
          </w:tcPr>
          <w:p w:rsidR="002800A2" w:rsidRPr="00870D7F" w:rsidRDefault="002800A2" w:rsidP="002800A2">
            <w:pPr>
              <w:spacing w:line="256" w:lineRule="auto"/>
              <w:rPr>
                <w:lang w:eastAsia="en-US"/>
              </w:rPr>
            </w:pPr>
            <w:r w:rsidRPr="00870D7F">
              <w:rPr>
                <w:lang w:eastAsia="en-US"/>
              </w:rPr>
              <w:t xml:space="preserve">  Obstarávanie kapitálových aktív (710)</w:t>
            </w:r>
            <w:r w:rsidRPr="00870D7F">
              <w:rPr>
                <w:vertAlign w:val="superscript"/>
                <w:lang w:eastAsia="en-US"/>
              </w:rPr>
              <w:t>2</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794" w:type="dxa"/>
            <w:tcBorders>
              <w:top w:val="nil"/>
              <w:left w:val="nil"/>
              <w:bottom w:val="single" w:sz="4" w:space="0" w:color="auto"/>
              <w:right w:val="single" w:sz="4" w:space="0" w:color="auto"/>
            </w:tcBorders>
            <w:noWrap/>
            <w:vAlign w:val="bottom"/>
            <w:hideMark/>
          </w:tcPr>
          <w:p w:rsidR="002800A2" w:rsidRPr="00870D7F" w:rsidRDefault="002800A2" w:rsidP="002800A2">
            <w:pPr>
              <w:spacing w:line="256" w:lineRule="auto"/>
              <w:jc w:val="right"/>
              <w:rPr>
                <w:sz w:val="24"/>
                <w:szCs w:val="24"/>
                <w:lang w:eastAsia="en-US"/>
              </w:rPr>
            </w:pPr>
            <w:r w:rsidRPr="00870D7F">
              <w:rPr>
                <w:sz w:val="24"/>
                <w:szCs w:val="24"/>
                <w:lang w:eastAsia="en-US"/>
              </w:rPr>
              <w:t> </w:t>
            </w:r>
          </w:p>
        </w:tc>
      </w:tr>
      <w:tr w:rsidR="002800A2" w:rsidRPr="00870D7F" w:rsidTr="002800A2">
        <w:trPr>
          <w:trHeight w:val="255"/>
        </w:trPr>
        <w:tc>
          <w:tcPr>
            <w:tcW w:w="6150" w:type="dxa"/>
            <w:tcBorders>
              <w:top w:val="nil"/>
              <w:left w:val="single" w:sz="4" w:space="0" w:color="auto"/>
              <w:bottom w:val="single" w:sz="4" w:space="0" w:color="auto"/>
              <w:right w:val="single" w:sz="4" w:space="0" w:color="auto"/>
            </w:tcBorders>
            <w:hideMark/>
          </w:tcPr>
          <w:p w:rsidR="002800A2" w:rsidRPr="00870D7F" w:rsidRDefault="002800A2" w:rsidP="002800A2">
            <w:pPr>
              <w:spacing w:line="256" w:lineRule="auto"/>
              <w:rPr>
                <w:lang w:eastAsia="en-US"/>
              </w:rPr>
            </w:pPr>
            <w:r w:rsidRPr="00870D7F">
              <w:rPr>
                <w:lang w:eastAsia="en-US"/>
              </w:rPr>
              <w:t xml:space="preserve">  Kapitálové transfery (720)</w:t>
            </w:r>
            <w:r w:rsidRPr="00870D7F">
              <w:rPr>
                <w:vertAlign w:val="superscript"/>
                <w:lang w:eastAsia="en-US"/>
              </w:rPr>
              <w:t>2</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540"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794" w:type="dxa"/>
            <w:tcBorders>
              <w:top w:val="nil"/>
              <w:left w:val="nil"/>
              <w:bottom w:val="single" w:sz="4" w:space="0" w:color="auto"/>
              <w:right w:val="single" w:sz="4" w:space="0" w:color="auto"/>
            </w:tcBorders>
            <w:noWrap/>
            <w:vAlign w:val="bottom"/>
            <w:hideMark/>
          </w:tcPr>
          <w:p w:rsidR="002800A2" w:rsidRPr="00870D7F" w:rsidRDefault="002800A2" w:rsidP="002800A2">
            <w:pPr>
              <w:spacing w:line="256" w:lineRule="auto"/>
              <w:jc w:val="right"/>
              <w:rPr>
                <w:sz w:val="24"/>
                <w:szCs w:val="24"/>
                <w:lang w:eastAsia="en-US"/>
              </w:rPr>
            </w:pPr>
            <w:r w:rsidRPr="00870D7F">
              <w:rPr>
                <w:sz w:val="24"/>
                <w:szCs w:val="24"/>
                <w:lang w:eastAsia="en-US"/>
              </w:rPr>
              <w:t> </w:t>
            </w:r>
          </w:p>
        </w:tc>
      </w:tr>
      <w:tr w:rsidR="002800A2" w:rsidRPr="00870D7F" w:rsidTr="002800A2">
        <w:trPr>
          <w:trHeight w:val="255"/>
        </w:trPr>
        <w:tc>
          <w:tcPr>
            <w:tcW w:w="6150" w:type="dxa"/>
            <w:tcBorders>
              <w:top w:val="nil"/>
              <w:left w:val="single" w:sz="4" w:space="0" w:color="auto"/>
              <w:bottom w:val="single" w:sz="4" w:space="0" w:color="auto"/>
              <w:right w:val="single" w:sz="4" w:space="0" w:color="auto"/>
            </w:tcBorders>
            <w:hideMark/>
          </w:tcPr>
          <w:p w:rsidR="002800A2" w:rsidRPr="00870D7F" w:rsidRDefault="002800A2" w:rsidP="002800A2">
            <w:pPr>
              <w:spacing w:line="256" w:lineRule="auto"/>
              <w:rPr>
                <w:b/>
                <w:bCs/>
                <w:lang w:eastAsia="en-US"/>
              </w:rPr>
            </w:pPr>
            <w:r w:rsidRPr="00870D7F">
              <w:rPr>
                <w:b/>
                <w:bCs/>
                <w:lang w:eastAsia="en-US"/>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hideMark/>
          </w:tcPr>
          <w:p w:rsidR="002800A2" w:rsidRPr="00870D7F" w:rsidRDefault="002800A2" w:rsidP="002800A2">
            <w:pPr>
              <w:spacing w:line="256" w:lineRule="auto"/>
              <w:jc w:val="center"/>
              <w:rPr>
                <w:b/>
                <w:bCs/>
                <w:lang w:eastAsia="en-US"/>
              </w:rPr>
            </w:pPr>
            <w:r w:rsidRPr="00870D7F">
              <w:rPr>
                <w:b/>
                <w:bCs/>
                <w:lang w:eastAsia="en-US"/>
              </w:rPr>
              <w:t>0</w:t>
            </w:r>
          </w:p>
        </w:tc>
        <w:tc>
          <w:tcPr>
            <w:tcW w:w="1540" w:type="dxa"/>
            <w:tcBorders>
              <w:top w:val="nil"/>
              <w:left w:val="nil"/>
              <w:bottom w:val="single" w:sz="4" w:space="0" w:color="auto"/>
              <w:right w:val="single" w:sz="4" w:space="0" w:color="auto"/>
            </w:tcBorders>
            <w:shd w:val="clear" w:color="auto" w:fill="FFFF99"/>
            <w:hideMark/>
          </w:tcPr>
          <w:p w:rsidR="002800A2" w:rsidRPr="00870D7F" w:rsidRDefault="002800A2" w:rsidP="002800A2">
            <w:pPr>
              <w:spacing w:line="256" w:lineRule="auto"/>
              <w:jc w:val="center"/>
              <w:rPr>
                <w:b/>
                <w:bCs/>
                <w:lang w:eastAsia="en-US"/>
              </w:rPr>
            </w:pPr>
            <w:r w:rsidRPr="00870D7F">
              <w:rPr>
                <w:b/>
                <w:bCs/>
                <w:lang w:eastAsia="en-US"/>
              </w:rPr>
              <w:t>0</w:t>
            </w:r>
          </w:p>
        </w:tc>
        <w:tc>
          <w:tcPr>
            <w:tcW w:w="1540" w:type="dxa"/>
            <w:tcBorders>
              <w:top w:val="nil"/>
              <w:left w:val="nil"/>
              <w:bottom w:val="single" w:sz="4" w:space="0" w:color="auto"/>
              <w:right w:val="single" w:sz="4" w:space="0" w:color="auto"/>
            </w:tcBorders>
            <w:shd w:val="clear" w:color="auto" w:fill="FFFF99"/>
            <w:hideMark/>
          </w:tcPr>
          <w:p w:rsidR="002800A2" w:rsidRPr="00870D7F" w:rsidRDefault="002800A2" w:rsidP="002800A2">
            <w:pPr>
              <w:spacing w:line="256" w:lineRule="auto"/>
              <w:jc w:val="center"/>
              <w:rPr>
                <w:b/>
                <w:bCs/>
                <w:lang w:eastAsia="en-US"/>
              </w:rPr>
            </w:pPr>
            <w:r w:rsidRPr="00870D7F">
              <w:rPr>
                <w:b/>
                <w:bCs/>
                <w:lang w:eastAsia="en-US"/>
              </w:rPr>
              <w:t>0</w:t>
            </w:r>
          </w:p>
        </w:tc>
        <w:tc>
          <w:tcPr>
            <w:tcW w:w="1540" w:type="dxa"/>
            <w:tcBorders>
              <w:top w:val="nil"/>
              <w:left w:val="nil"/>
              <w:bottom w:val="single" w:sz="4" w:space="0" w:color="auto"/>
              <w:right w:val="single" w:sz="4" w:space="0" w:color="auto"/>
            </w:tcBorders>
            <w:shd w:val="clear" w:color="auto" w:fill="FFFF99"/>
            <w:hideMark/>
          </w:tcPr>
          <w:p w:rsidR="002800A2" w:rsidRPr="00870D7F" w:rsidRDefault="002800A2" w:rsidP="002800A2">
            <w:pPr>
              <w:spacing w:line="256" w:lineRule="auto"/>
              <w:jc w:val="center"/>
              <w:rPr>
                <w:b/>
                <w:bCs/>
                <w:lang w:eastAsia="en-US"/>
              </w:rPr>
            </w:pPr>
            <w:r w:rsidRPr="00870D7F">
              <w:rPr>
                <w:b/>
                <w:bCs/>
                <w:lang w:eastAsia="en-US"/>
              </w:rPr>
              <w:t>0</w:t>
            </w:r>
          </w:p>
        </w:tc>
        <w:tc>
          <w:tcPr>
            <w:tcW w:w="1794" w:type="dxa"/>
            <w:tcBorders>
              <w:top w:val="nil"/>
              <w:left w:val="nil"/>
              <w:bottom w:val="single" w:sz="4" w:space="0" w:color="auto"/>
              <w:right w:val="single" w:sz="4" w:space="0" w:color="auto"/>
            </w:tcBorders>
            <w:noWrap/>
            <w:vAlign w:val="bottom"/>
            <w:hideMark/>
          </w:tcPr>
          <w:p w:rsidR="002800A2" w:rsidRPr="00870D7F" w:rsidRDefault="002800A2" w:rsidP="002800A2">
            <w:pPr>
              <w:spacing w:line="256" w:lineRule="auto"/>
              <w:rPr>
                <w:sz w:val="24"/>
                <w:szCs w:val="24"/>
                <w:lang w:eastAsia="en-US"/>
              </w:rPr>
            </w:pPr>
            <w:r w:rsidRPr="00870D7F">
              <w:rPr>
                <w:sz w:val="24"/>
                <w:szCs w:val="24"/>
                <w:lang w:eastAsia="en-US"/>
              </w:rPr>
              <w:t> </w:t>
            </w:r>
          </w:p>
        </w:tc>
      </w:tr>
      <w:tr w:rsidR="002800A2" w:rsidRPr="00870D7F" w:rsidTr="002800A2">
        <w:trPr>
          <w:trHeight w:val="255"/>
        </w:trPr>
        <w:tc>
          <w:tcPr>
            <w:tcW w:w="6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800A2" w:rsidRPr="00870D7F" w:rsidRDefault="002800A2" w:rsidP="002800A2">
            <w:pPr>
              <w:spacing w:line="256" w:lineRule="auto"/>
              <w:rPr>
                <w:b/>
                <w:bCs/>
                <w:lang w:eastAsia="en-US"/>
              </w:rPr>
            </w:pPr>
            <w:r w:rsidRPr="00870D7F">
              <w:rPr>
                <w:b/>
                <w:bCs/>
                <w:lang w:eastAsia="en-US"/>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2800A2" w:rsidRPr="00870D7F" w:rsidRDefault="002800A2" w:rsidP="002800A2">
            <w:pPr>
              <w:spacing w:line="256" w:lineRule="auto"/>
              <w:jc w:val="center"/>
              <w:rPr>
                <w:b/>
                <w:bCs/>
                <w:lang w:eastAsia="en-US"/>
              </w:rPr>
            </w:pPr>
            <w:r w:rsidRPr="00870D7F">
              <w:rPr>
                <w:b/>
                <w:bCs/>
                <w:lang w:eastAsia="en-US"/>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2800A2" w:rsidRPr="00870D7F" w:rsidRDefault="002800A2" w:rsidP="002800A2">
            <w:pPr>
              <w:spacing w:line="256" w:lineRule="auto"/>
              <w:jc w:val="center"/>
              <w:rPr>
                <w:b/>
                <w:bCs/>
                <w:lang w:eastAsia="en-US"/>
              </w:rPr>
            </w:pPr>
            <w:r w:rsidRPr="00870D7F">
              <w:rPr>
                <w:b/>
                <w:bCs/>
                <w:lang w:eastAsia="en-US"/>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2800A2" w:rsidRPr="00870D7F" w:rsidRDefault="002800A2" w:rsidP="002800A2">
            <w:pPr>
              <w:spacing w:line="256" w:lineRule="auto"/>
              <w:jc w:val="center"/>
              <w:rPr>
                <w:b/>
                <w:bCs/>
                <w:lang w:eastAsia="en-US"/>
              </w:rPr>
            </w:pPr>
            <w:r w:rsidRPr="00870D7F">
              <w:rPr>
                <w:b/>
                <w:bCs/>
                <w:lang w:eastAsia="en-US"/>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2800A2" w:rsidRPr="00870D7F" w:rsidRDefault="002800A2" w:rsidP="002800A2">
            <w:pPr>
              <w:spacing w:line="256" w:lineRule="auto"/>
              <w:jc w:val="center"/>
              <w:rPr>
                <w:b/>
                <w:bCs/>
                <w:lang w:eastAsia="en-US"/>
              </w:rPr>
            </w:pPr>
            <w:r w:rsidRPr="00870D7F">
              <w:rPr>
                <w:b/>
                <w:bCs/>
                <w:lang w:eastAsia="en-US"/>
              </w:rPr>
              <w:t>0</w:t>
            </w:r>
          </w:p>
        </w:tc>
        <w:tc>
          <w:tcPr>
            <w:tcW w:w="179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800A2" w:rsidRPr="00870D7F" w:rsidRDefault="002800A2" w:rsidP="002800A2">
            <w:pPr>
              <w:spacing w:line="256" w:lineRule="auto"/>
              <w:rPr>
                <w:sz w:val="24"/>
                <w:szCs w:val="24"/>
                <w:lang w:eastAsia="en-US"/>
              </w:rPr>
            </w:pPr>
            <w:r w:rsidRPr="00870D7F">
              <w:rPr>
                <w:sz w:val="24"/>
                <w:szCs w:val="24"/>
                <w:lang w:eastAsia="en-US"/>
              </w:rPr>
              <w:t> </w:t>
            </w:r>
          </w:p>
        </w:tc>
      </w:tr>
    </w:tbl>
    <w:p w:rsidR="00252F43" w:rsidRPr="00870D7F" w:rsidRDefault="00252F43" w:rsidP="00252F43">
      <w:pPr>
        <w:tabs>
          <w:tab w:val="num" w:pos="1080"/>
        </w:tabs>
        <w:ind w:left="57"/>
        <w:jc w:val="both"/>
        <w:rPr>
          <w:bCs/>
        </w:rPr>
      </w:pPr>
      <w:r w:rsidRPr="00870D7F">
        <w:rPr>
          <w:bCs/>
        </w:rPr>
        <w:t>2 –  výdavky rozpísať až do položiek platnej ekonomickej klasifikácie</w:t>
      </w:r>
    </w:p>
    <w:p w:rsidR="00252F43" w:rsidRPr="00870D7F" w:rsidRDefault="00252F43" w:rsidP="00252F43">
      <w:pPr>
        <w:tabs>
          <w:tab w:val="num" w:pos="1080"/>
        </w:tabs>
        <w:spacing w:before="120" w:after="120"/>
        <w:jc w:val="right"/>
        <w:rPr>
          <w:bCs/>
          <w:sz w:val="24"/>
          <w:szCs w:val="24"/>
        </w:rPr>
      </w:pPr>
      <w:r w:rsidRPr="00870D7F">
        <w:rPr>
          <w:bCs/>
          <w:sz w:val="24"/>
          <w:szCs w:val="24"/>
        </w:rPr>
        <w:lastRenderedPageBreak/>
        <w:t xml:space="preserve">Tabuľka č. 5 </w:t>
      </w:r>
    </w:p>
    <w:tbl>
      <w:tblPr>
        <w:tblW w:w="19644" w:type="dxa"/>
        <w:tblInd w:w="70" w:type="dxa"/>
        <w:tblCellMar>
          <w:left w:w="70" w:type="dxa"/>
          <w:right w:w="70" w:type="dxa"/>
        </w:tblCellMar>
        <w:tblLook w:val="04A0" w:firstRow="1" w:lastRow="0" w:firstColumn="1" w:lastColumn="0" w:noHBand="0" w:noVBand="1"/>
      </w:tblPr>
      <w:tblGrid>
        <w:gridCol w:w="5479"/>
        <w:gridCol w:w="1698"/>
        <w:gridCol w:w="1757"/>
        <w:gridCol w:w="1701"/>
        <w:gridCol w:w="1701"/>
        <w:gridCol w:w="1839"/>
        <w:gridCol w:w="429"/>
        <w:gridCol w:w="1698"/>
        <w:gridCol w:w="2352"/>
        <w:gridCol w:w="990"/>
      </w:tblGrid>
      <w:tr w:rsidR="00252F43" w:rsidRPr="00870D7F" w:rsidTr="00252F43">
        <w:trPr>
          <w:gridAfter w:val="4"/>
          <w:wAfter w:w="5469" w:type="dxa"/>
          <w:cantSplit/>
          <w:trHeight w:val="255"/>
        </w:trPr>
        <w:tc>
          <w:tcPr>
            <w:tcW w:w="547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52F43" w:rsidRPr="00870D7F" w:rsidRDefault="00252F43">
            <w:pPr>
              <w:spacing w:line="256" w:lineRule="auto"/>
              <w:jc w:val="center"/>
              <w:rPr>
                <w:b/>
                <w:bCs/>
                <w:lang w:eastAsia="en-US"/>
              </w:rPr>
            </w:pPr>
            <w:r w:rsidRPr="00870D7F">
              <w:rPr>
                <w:b/>
                <w:bCs/>
                <w:lang w:eastAsia="en-US"/>
              </w:rPr>
              <w:t>Zamestnanosť</w:t>
            </w:r>
          </w:p>
        </w:tc>
        <w:tc>
          <w:tcPr>
            <w:tcW w:w="6857" w:type="dxa"/>
            <w:gridSpan w:val="4"/>
            <w:tcBorders>
              <w:top w:val="single" w:sz="4" w:space="0" w:color="auto"/>
              <w:left w:val="nil"/>
              <w:bottom w:val="single" w:sz="4" w:space="0" w:color="auto"/>
              <w:right w:val="single" w:sz="4" w:space="0" w:color="auto"/>
            </w:tcBorders>
            <w:shd w:val="clear" w:color="auto" w:fill="BFBFBF" w:themeFill="background1" w:themeFillShade="BF"/>
            <w:hideMark/>
          </w:tcPr>
          <w:p w:rsidR="00252F43" w:rsidRPr="00870D7F" w:rsidRDefault="00252F43">
            <w:pPr>
              <w:spacing w:line="256" w:lineRule="auto"/>
              <w:jc w:val="center"/>
              <w:rPr>
                <w:b/>
                <w:bCs/>
                <w:lang w:eastAsia="en-US"/>
              </w:rPr>
            </w:pPr>
            <w:r w:rsidRPr="00870D7F">
              <w:rPr>
                <w:b/>
                <w:bCs/>
                <w:lang w:eastAsia="en-US"/>
              </w:rPr>
              <w:t>Vplyv na rozpočet verejnej správy</w:t>
            </w:r>
          </w:p>
        </w:tc>
        <w:tc>
          <w:tcPr>
            <w:tcW w:w="183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52F43" w:rsidRPr="00870D7F" w:rsidRDefault="00252F43">
            <w:pPr>
              <w:spacing w:line="256" w:lineRule="auto"/>
              <w:jc w:val="center"/>
              <w:rPr>
                <w:b/>
                <w:bCs/>
                <w:lang w:eastAsia="en-US"/>
              </w:rPr>
            </w:pPr>
            <w:r w:rsidRPr="00870D7F">
              <w:rPr>
                <w:b/>
                <w:bCs/>
                <w:lang w:eastAsia="en-US"/>
              </w:rPr>
              <w:t>poznámka</w:t>
            </w:r>
          </w:p>
        </w:tc>
      </w:tr>
      <w:tr w:rsidR="00252F43" w:rsidRPr="00870D7F" w:rsidTr="00252F43">
        <w:trPr>
          <w:gridAfter w:val="4"/>
          <w:wAfter w:w="5469" w:type="dxa"/>
          <w:cantSplit/>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2F43" w:rsidRPr="00870D7F" w:rsidRDefault="00252F43">
            <w:pPr>
              <w:spacing w:line="256" w:lineRule="auto"/>
              <w:rPr>
                <w:b/>
                <w:bCs/>
                <w:lang w:eastAsia="en-US"/>
              </w:rPr>
            </w:pPr>
          </w:p>
        </w:tc>
        <w:tc>
          <w:tcPr>
            <w:tcW w:w="1698" w:type="dxa"/>
            <w:tcBorders>
              <w:top w:val="nil"/>
              <w:left w:val="nil"/>
              <w:bottom w:val="single" w:sz="4" w:space="0" w:color="auto"/>
              <w:right w:val="single" w:sz="4" w:space="0" w:color="auto"/>
            </w:tcBorders>
            <w:shd w:val="clear" w:color="auto" w:fill="BFBFBF" w:themeFill="background1" w:themeFillShade="BF"/>
            <w:hideMark/>
          </w:tcPr>
          <w:p w:rsidR="00252F43" w:rsidRPr="00870D7F" w:rsidRDefault="00252F43">
            <w:pPr>
              <w:spacing w:line="256" w:lineRule="auto"/>
              <w:jc w:val="center"/>
              <w:rPr>
                <w:b/>
                <w:bCs/>
                <w:lang w:eastAsia="en-US"/>
              </w:rPr>
            </w:pPr>
            <w:r w:rsidRPr="00870D7F">
              <w:rPr>
                <w:b/>
                <w:bCs/>
                <w:lang w:eastAsia="en-US"/>
              </w:rPr>
              <w:t>2018</w:t>
            </w:r>
          </w:p>
        </w:tc>
        <w:tc>
          <w:tcPr>
            <w:tcW w:w="1757" w:type="dxa"/>
            <w:tcBorders>
              <w:top w:val="nil"/>
              <w:left w:val="nil"/>
              <w:bottom w:val="single" w:sz="4" w:space="0" w:color="auto"/>
              <w:right w:val="single" w:sz="4" w:space="0" w:color="auto"/>
            </w:tcBorders>
            <w:shd w:val="clear" w:color="auto" w:fill="BFBFBF" w:themeFill="background1" w:themeFillShade="BF"/>
            <w:hideMark/>
          </w:tcPr>
          <w:p w:rsidR="00252F43" w:rsidRPr="00870D7F" w:rsidRDefault="00252F43">
            <w:pPr>
              <w:spacing w:line="256" w:lineRule="auto"/>
              <w:jc w:val="center"/>
              <w:rPr>
                <w:b/>
                <w:bCs/>
                <w:lang w:eastAsia="en-US"/>
              </w:rPr>
            </w:pPr>
            <w:r w:rsidRPr="00870D7F">
              <w:rPr>
                <w:b/>
                <w:bCs/>
                <w:lang w:eastAsia="en-US"/>
              </w:rPr>
              <w:t>2019</w:t>
            </w:r>
          </w:p>
        </w:tc>
        <w:tc>
          <w:tcPr>
            <w:tcW w:w="1701" w:type="dxa"/>
            <w:tcBorders>
              <w:top w:val="nil"/>
              <w:left w:val="nil"/>
              <w:bottom w:val="single" w:sz="4" w:space="0" w:color="auto"/>
              <w:right w:val="single" w:sz="4" w:space="0" w:color="auto"/>
            </w:tcBorders>
            <w:shd w:val="clear" w:color="auto" w:fill="BFBFBF" w:themeFill="background1" w:themeFillShade="BF"/>
            <w:hideMark/>
          </w:tcPr>
          <w:p w:rsidR="00252F43" w:rsidRPr="00870D7F" w:rsidRDefault="00252F43">
            <w:pPr>
              <w:spacing w:line="256" w:lineRule="auto"/>
              <w:jc w:val="center"/>
              <w:rPr>
                <w:b/>
                <w:bCs/>
                <w:lang w:eastAsia="en-US"/>
              </w:rPr>
            </w:pPr>
            <w:r w:rsidRPr="00870D7F">
              <w:rPr>
                <w:b/>
                <w:bCs/>
                <w:lang w:eastAsia="en-US"/>
              </w:rPr>
              <w:t>2020</w:t>
            </w:r>
          </w:p>
        </w:tc>
        <w:tc>
          <w:tcPr>
            <w:tcW w:w="1701" w:type="dxa"/>
            <w:tcBorders>
              <w:top w:val="nil"/>
              <w:left w:val="nil"/>
              <w:bottom w:val="single" w:sz="4" w:space="0" w:color="auto"/>
              <w:right w:val="single" w:sz="4" w:space="0" w:color="auto"/>
            </w:tcBorders>
            <w:shd w:val="clear" w:color="auto" w:fill="BFBFBF" w:themeFill="background1" w:themeFillShade="BF"/>
            <w:hideMark/>
          </w:tcPr>
          <w:p w:rsidR="00252F43" w:rsidRPr="00870D7F" w:rsidRDefault="00252F43">
            <w:pPr>
              <w:spacing w:line="256" w:lineRule="auto"/>
              <w:jc w:val="center"/>
              <w:rPr>
                <w:b/>
                <w:bCs/>
                <w:lang w:eastAsia="en-US"/>
              </w:rPr>
            </w:pPr>
            <w:r w:rsidRPr="00870D7F">
              <w:rPr>
                <w:b/>
                <w:bCs/>
                <w:lang w:eastAsia="en-US"/>
              </w:rPr>
              <w:t>2021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2F43" w:rsidRPr="00870D7F" w:rsidRDefault="00252F43">
            <w:pPr>
              <w:spacing w:line="256" w:lineRule="auto"/>
              <w:rPr>
                <w:b/>
                <w:bCs/>
                <w:lang w:eastAsia="en-US"/>
              </w:rPr>
            </w:pPr>
          </w:p>
        </w:tc>
      </w:tr>
      <w:tr w:rsidR="002800A2" w:rsidRPr="00870D7F" w:rsidTr="002800A2">
        <w:trPr>
          <w:gridAfter w:val="4"/>
          <w:wAfter w:w="5469" w:type="dxa"/>
          <w:trHeight w:val="255"/>
        </w:trPr>
        <w:tc>
          <w:tcPr>
            <w:tcW w:w="5479" w:type="dxa"/>
            <w:tcBorders>
              <w:top w:val="nil"/>
              <w:left w:val="single" w:sz="4" w:space="0" w:color="auto"/>
              <w:bottom w:val="single" w:sz="4" w:space="0" w:color="auto"/>
              <w:right w:val="single" w:sz="4" w:space="0" w:color="auto"/>
            </w:tcBorders>
            <w:hideMark/>
          </w:tcPr>
          <w:p w:rsidR="002800A2" w:rsidRPr="00870D7F" w:rsidRDefault="002800A2" w:rsidP="002800A2">
            <w:pPr>
              <w:spacing w:line="256" w:lineRule="auto"/>
              <w:rPr>
                <w:bCs/>
                <w:lang w:eastAsia="en-US"/>
              </w:rPr>
            </w:pPr>
            <w:r w:rsidRPr="00870D7F">
              <w:rPr>
                <w:bCs/>
                <w:lang w:eastAsia="en-US"/>
              </w:rPr>
              <w:t>Počet zamestnancov celkom</w:t>
            </w:r>
          </w:p>
        </w:tc>
        <w:tc>
          <w:tcPr>
            <w:tcW w:w="1698"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bCs/>
                <w:lang w:eastAsia="en-US"/>
              </w:rPr>
            </w:pPr>
            <w:r w:rsidRPr="00870D7F">
              <w:rPr>
                <w:bCs/>
                <w:lang w:eastAsia="en-US"/>
              </w:rPr>
              <w:t>0</w:t>
            </w:r>
          </w:p>
        </w:tc>
        <w:tc>
          <w:tcPr>
            <w:tcW w:w="1757"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bCs/>
                <w:lang w:eastAsia="en-US"/>
              </w:rPr>
            </w:pPr>
            <w:r w:rsidRPr="00870D7F">
              <w:rPr>
                <w:bCs/>
                <w:lang w:eastAsia="en-US"/>
              </w:rPr>
              <w:t>0</w:t>
            </w:r>
          </w:p>
        </w:tc>
        <w:tc>
          <w:tcPr>
            <w:tcW w:w="1701"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bCs/>
                <w:lang w:eastAsia="en-US"/>
              </w:rPr>
            </w:pPr>
            <w:r w:rsidRPr="00870D7F">
              <w:rPr>
                <w:bCs/>
                <w:lang w:eastAsia="en-US"/>
              </w:rPr>
              <w:t>0</w:t>
            </w:r>
          </w:p>
        </w:tc>
        <w:tc>
          <w:tcPr>
            <w:tcW w:w="1701"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bCs/>
                <w:lang w:eastAsia="en-US"/>
              </w:rPr>
            </w:pPr>
            <w:r w:rsidRPr="00870D7F">
              <w:rPr>
                <w:bCs/>
                <w:lang w:eastAsia="en-US"/>
              </w:rPr>
              <w:t>0</w:t>
            </w:r>
          </w:p>
        </w:tc>
        <w:tc>
          <w:tcPr>
            <w:tcW w:w="1839" w:type="dxa"/>
            <w:tcBorders>
              <w:top w:val="nil"/>
              <w:left w:val="nil"/>
              <w:bottom w:val="single" w:sz="4" w:space="0" w:color="auto"/>
              <w:right w:val="single" w:sz="4" w:space="0" w:color="auto"/>
            </w:tcBorders>
            <w:noWrap/>
            <w:vAlign w:val="bottom"/>
            <w:hideMark/>
          </w:tcPr>
          <w:p w:rsidR="002800A2" w:rsidRPr="00870D7F" w:rsidRDefault="002800A2" w:rsidP="002800A2">
            <w:pPr>
              <w:spacing w:line="256" w:lineRule="auto"/>
              <w:rPr>
                <w:lang w:eastAsia="en-US"/>
              </w:rPr>
            </w:pPr>
            <w:r w:rsidRPr="00870D7F">
              <w:rPr>
                <w:lang w:eastAsia="en-US"/>
              </w:rPr>
              <w:t> </w:t>
            </w:r>
          </w:p>
        </w:tc>
      </w:tr>
      <w:tr w:rsidR="002800A2" w:rsidRPr="00870D7F" w:rsidTr="002800A2">
        <w:trPr>
          <w:gridAfter w:val="4"/>
          <w:wAfter w:w="5469" w:type="dxa"/>
          <w:trHeight w:val="255"/>
        </w:trPr>
        <w:tc>
          <w:tcPr>
            <w:tcW w:w="5479" w:type="dxa"/>
            <w:tcBorders>
              <w:top w:val="nil"/>
              <w:left w:val="single" w:sz="4" w:space="0" w:color="auto"/>
              <w:bottom w:val="single" w:sz="4" w:space="0" w:color="auto"/>
              <w:right w:val="single" w:sz="4" w:space="0" w:color="auto"/>
            </w:tcBorders>
            <w:hideMark/>
          </w:tcPr>
          <w:p w:rsidR="002800A2" w:rsidRPr="00870D7F" w:rsidRDefault="002800A2" w:rsidP="002800A2">
            <w:pPr>
              <w:spacing w:line="256" w:lineRule="auto"/>
              <w:rPr>
                <w:bCs/>
                <w:lang w:eastAsia="en-US"/>
              </w:rPr>
            </w:pPr>
            <w:r w:rsidRPr="00870D7F">
              <w:rPr>
                <w:bCs/>
                <w:lang w:eastAsia="en-US"/>
              </w:rPr>
              <w:t xml:space="preserve">   z toho vplyv na ŠR</w:t>
            </w:r>
          </w:p>
        </w:tc>
        <w:tc>
          <w:tcPr>
            <w:tcW w:w="1698" w:type="dxa"/>
            <w:tcBorders>
              <w:top w:val="single" w:sz="4" w:space="0" w:color="auto"/>
              <w:left w:val="nil"/>
              <w:bottom w:val="single" w:sz="4" w:space="0" w:color="auto"/>
              <w:right w:val="single" w:sz="4" w:space="0" w:color="auto"/>
            </w:tcBorders>
          </w:tcPr>
          <w:p w:rsidR="002800A2" w:rsidRPr="00870D7F" w:rsidRDefault="002800A2" w:rsidP="002800A2">
            <w:pPr>
              <w:spacing w:line="256" w:lineRule="auto"/>
              <w:jc w:val="center"/>
              <w:rPr>
                <w:bCs/>
                <w:lang w:eastAsia="en-US"/>
              </w:rPr>
            </w:pPr>
            <w:r w:rsidRPr="00870D7F">
              <w:rPr>
                <w:bCs/>
                <w:lang w:eastAsia="en-US"/>
              </w:rPr>
              <w:t>0</w:t>
            </w:r>
          </w:p>
        </w:tc>
        <w:tc>
          <w:tcPr>
            <w:tcW w:w="1757" w:type="dxa"/>
            <w:tcBorders>
              <w:top w:val="single" w:sz="4" w:space="0" w:color="auto"/>
              <w:left w:val="nil"/>
              <w:bottom w:val="single" w:sz="4" w:space="0" w:color="auto"/>
              <w:right w:val="single" w:sz="4" w:space="0" w:color="auto"/>
            </w:tcBorders>
          </w:tcPr>
          <w:p w:rsidR="002800A2" w:rsidRPr="00870D7F" w:rsidRDefault="002800A2" w:rsidP="002800A2">
            <w:pPr>
              <w:spacing w:line="256" w:lineRule="auto"/>
              <w:jc w:val="center"/>
              <w:rPr>
                <w:bCs/>
                <w:lang w:eastAsia="en-US"/>
              </w:rPr>
            </w:pPr>
            <w:r w:rsidRPr="00870D7F">
              <w:rPr>
                <w:bCs/>
                <w:lang w:eastAsia="en-US"/>
              </w:rPr>
              <w:t>0</w:t>
            </w:r>
          </w:p>
        </w:tc>
        <w:tc>
          <w:tcPr>
            <w:tcW w:w="1701" w:type="dxa"/>
            <w:tcBorders>
              <w:top w:val="single" w:sz="4" w:space="0" w:color="auto"/>
              <w:left w:val="nil"/>
              <w:bottom w:val="single" w:sz="4" w:space="0" w:color="auto"/>
              <w:right w:val="single" w:sz="4" w:space="0" w:color="auto"/>
            </w:tcBorders>
          </w:tcPr>
          <w:p w:rsidR="002800A2" w:rsidRPr="00870D7F" w:rsidRDefault="002800A2" w:rsidP="002800A2">
            <w:pPr>
              <w:spacing w:line="256" w:lineRule="auto"/>
              <w:jc w:val="center"/>
              <w:rPr>
                <w:bCs/>
                <w:lang w:eastAsia="en-US"/>
              </w:rPr>
            </w:pPr>
            <w:r w:rsidRPr="00870D7F">
              <w:rPr>
                <w:bCs/>
                <w:lang w:eastAsia="en-US"/>
              </w:rPr>
              <w:t>0</w:t>
            </w:r>
          </w:p>
        </w:tc>
        <w:tc>
          <w:tcPr>
            <w:tcW w:w="1701" w:type="dxa"/>
            <w:tcBorders>
              <w:top w:val="single" w:sz="4" w:space="0" w:color="auto"/>
              <w:left w:val="nil"/>
              <w:bottom w:val="single" w:sz="4" w:space="0" w:color="auto"/>
              <w:right w:val="single" w:sz="4" w:space="0" w:color="auto"/>
            </w:tcBorders>
          </w:tcPr>
          <w:p w:rsidR="002800A2" w:rsidRPr="00870D7F" w:rsidRDefault="002800A2" w:rsidP="002800A2">
            <w:pPr>
              <w:spacing w:line="256" w:lineRule="auto"/>
              <w:jc w:val="center"/>
              <w:rPr>
                <w:bCs/>
                <w:lang w:eastAsia="en-US"/>
              </w:rPr>
            </w:pPr>
            <w:r w:rsidRPr="00870D7F">
              <w:rPr>
                <w:bCs/>
                <w:lang w:eastAsia="en-US"/>
              </w:rPr>
              <w:t>0</w:t>
            </w:r>
          </w:p>
        </w:tc>
        <w:tc>
          <w:tcPr>
            <w:tcW w:w="1839" w:type="dxa"/>
            <w:tcBorders>
              <w:top w:val="nil"/>
              <w:left w:val="nil"/>
              <w:bottom w:val="single" w:sz="4" w:space="0" w:color="auto"/>
              <w:right w:val="single" w:sz="4" w:space="0" w:color="auto"/>
            </w:tcBorders>
            <w:noWrap/>
            <w:vAlign w:val="bottom"/>
          </w:tcPr>
          <w:p w:rsidR="002800A2" w:rsidRPr="00870D7F" w:rsidRDefault="002800A2" w:rsidP="002800A2">
            <w:pPr>
              <w:spacing w:line="256" w:lineRule="auto"/>
              <w:rPr>
                <w:lang w:eastAsia="en-US"/>
              </w:rPr>
            </w:pPr>
          </w:p>
        </w:tc>
      </w:tr>
      <w:tr w:rsidR="002800A2" w:rsidRPr="00870D7F" w:rsidTr="002800A2">
        <w:trPr>
          <w:gridAfter w:val="4"/>
          <w:wAfter w:w="5469" w:type="dxa"/>
          <w:trHeight w:val="255"/>
        </w:trPr>
        <w:tc>
          <w:tcPr>
            <w:tcW w:w="5479" w:type="dxa"/>
            <w:tcBorders>
              <w:top w:val="nil"/>
              <w:left w:val="single" w:sz="4" w:space="0" w:color="auto"/>
              <w:bottom w:val="single" w:sz="4" w:space="0" w:color="auto"/>
              <w:right w:val="single" w:sz="4" w:space="0" w:color="auto"/>
            </w:tcBorders>
            <w:hideMark/>
          </w:tcPr>
          <w:p w:rsidR="002800A2" w:rsidRPr="00870D7F" w:rsidRDefault="002800A2" w:rsidP="002800A2">
            <w:pPr>
              <w:spacing w:line="256" w:lineRule="auto"/>
              <w:rPr>
                <w:bCs/>
                <w:lang w:eastAsia="en-US"/>
              </w:rPr>
            </w:pPr>
            <w:r w:rsidRPr="00870D7F">
              <w:rPr>
                <w:bCs/>
                <w:lang w:eastAsia="en-US"/>
              </w:rPr>
              <w:t>Priemerný mzdový výdavok (v eurách)</w:t>
            </w:r>
          </w:p>
        </w:tc>
        <w:tc>
          <w:tcPr>
            <w:tcW w:w="1698" w:type="dxa"/>
            <w:tcBorders>
              <w:top w:val="single" w:sz="4" w:space="0" w:color="auto"/>
              <w:left w:val="nil"/>
              <w:bottom w:val="single" w:sz="4" w:space="0" w:color="auto"/>
              <w:right w:val="single" w:sz="4" w:space="0" w:color="auto"/>
            </w:tcBorders>
          </w:tcPr>
          <w:p w:rsidR="002800A2" w:rsidRPr="00870D7F" w:rsidRDefault="002800A2" w:rsidP="002800A2">
            <w:pPr>
              <w:spacing w:line="256" w:lineRule="auto"/>
              <w:jc w:val="center"/>
              <w:rPr>
                <w:bCs/>
                <w:lang w:eastAsia="en-US"/>
              </w:rPr>
            </w:pPr>
            <w:r w:rsidRPr="00870D7F">
              <w:rPr>
                <w:bCs/>
                <w:lang w:eastAsia="en-US"/>
              </w:rPr>
              <w:t>0</w:t>
            </w:r>
          </w:p>
        </w:tc>
        <w:tc>
          <w:tcPr>
            <w:tcW w:w="1757" w:type="dxa"/>
            <w:tcBorders>
              <w:top w:val="single" w:sz="4" w:space="0" w:color="auto"/>
              <w:left w:val="nil"/>
              <w:bottom w:val="single" w:sz="4" w:space="0" w:color="auto"/>
              <w:right w:val="single" w:sz="4" w:space="0" w:color="auto"/>
            </w:tcBorders>
          </w:tcPr>
          <w:p w:rsidR="002800A2" w:rsidRPr="00870D7F" w:rsidRDefault="002800A2" w:rsidP="002800A2">
            <w:pPr>
              <w:spacing w:line="256" w:lineRule="auto"/>
              <w:jc w:val="center"/>
              <w:rPr>
                <w:bCs/>
                <w:lang w:eastAsia="en-US"/>
              </w:rPr>
            </w:pPr>
            <w:r w:rsidRPr="00870D7F">
              <w:rPr>
                <w:bCs/>
                <w:lang w:eastAsia="en-US"/>
              </w:rPr>
              <w:t>0</w:t>
            </w:r>
          </w:p>
        </w:tc>
        <w:tc>
          <w:tcPr>
            <w:tcW w:w="1701" w:type="dxa"/>
            <w:tcBorders>
              <w:top w:val="single" w:sz="4" w:space="0" w:color="auto"/>
              <w:left w:val="nil"/>
              <w:bottom w:val="single" w:sz="4" w:space="0" w:color="auto"/>
              <w:right w:val="single" w:sz="4" w:space="0" w:color="auto"/>
            </w:tcBorders>
          </w:tcPr>
          <w:p w:rsidR="002800A2" w:rsidRPr="00870D7F" w:rsidRDefault="002800A2" w:rsidP="002800A2">
            <w:pPr>
              <w:spacing w:line="256" w:lineRule="auto"/>
              <w:jc w:val="center"/>
              <w:rPr>
                <w:bCs/>
                <w:lang w:eastAsia="en-US"/>
              </w:rPr>
            </w:pPr>
            <w:r w:rsidRPr="00870D7F">
              <w:rPr>
                <w:bCs/>
                <w:lang w:eastAsia="en-US"/>
              </w:rPr>
              <w:t>0</w:t>
            </w:r>
          </w:p>
        </w:tc>
        <w:tc>
          <w:tcPr>
            <w:tcW w:w="1701" w:type="dxa"/>
            <w:tcBorders>
              <w:top w:val="single" w:sz="4" w:space="0" w:color="auto"/>
              <w:left w:val="nil"/>
              <w:bottom w:val="single" w:sz="4" w:space="0" w:color="auto"/>
              <w:right w:val="single" w:sz="4" w:space="0" w:color="auto"/>
            </w:tcBorders>
          </w:tcPr>
          <w:p w:rsidR="002800A2" w:rsidRPr="00870D7F" w:rsidRDefault="002800A2" w:rsidP="002800A2">
            <w:pPr>
              <w:spacing w:line="256" w:lineRule="auto"/>
              <w:jc w:val="center"/>
              <w:rPr>
                <w:bCs/>
                <w:lang w:eastAsia="en-US"/>
              </w:rPr>
            </w:pPr>
            <w:r w:rsidRPr="00870D7F">
              <w:rPr>
                <w:bCs/>
                <w:lang w:eastAsia="en-US"/>
              </w:rPr>
              <w:t>0</w:t>
            </w:r>
          </w:p>
        </w:tc>
        <w:tc>
          <w:tcPr>
            <w:tcW w:w="1839" w:type="dxa"/>
            <w:tcBorders>
              <w:top w:val="nil"/>
              <w:left w:val="nil"/>
              <w:bottom w:val="single" w:sz="4" w:space="0" w:color="auto"/>
              <w:right w:val="single" w:sz="4" w:space="0" w:color="auto"/>
            </w:tcBorders>
            <w:noWrap/>
            <w:vAlign w:val="bottom"/>
          </w:tcPr>
          <w:p w:rsidR="002800A2" w:rsidRPr="00870D7F" w:rsidRDefault="002800A2" w:rsidP="002800A2">
            <w:pPr>
              <w:spacing w:line="256" w:lineRule="auto"/>
              <w:rPr>
                <w:lang w:eastAsia="en-US"/>
              </w:rPr>
            </w:pPr>
          </w:p>
        </w:tc>
      </w:tr>
      <w:tr w:rsidR="002800A2" w:rsidRPr="00870D7F" w:rsidTr="002800A2">
        <w:trPr>
          <w:gridAfter w:val="4"/>
          <w:wAfter w:w="5469" w:type="dxa"/>
          <w:trHeight w:val="255"/>
        </w:trPr>
        <w:tc>
          <w:tcPr>
            <w:tcW w:w="5479" w:type="dxa"/>
            <w:tcBorders>
              <w:top w:val="nil"/>
              <w:left w:val="single" w:sz="4" w:space="0" w:color="auto"/>
              <w:bottom w:val="single" w:sz="4" w:space="0" w:color="auto"/>
              <w:right w:val="single" w:sz="4" w:space="0" w:color="auto"/>
            </w:tcBorders>
            <w:hideMark/>
          </w:tcPr>
          <w:p w:rsidR="002800A2" w:rsidRPr="00870D7F" w:rsidRDefault="002800A2" w:rsidP="002800A2">
            <w:pPr>
              <w:spacing w:line="256" w:lineRule="auto"/>
              <w:rPr>
                <w:lang w:eastAsia="en-US"/>
              </w:rPr>
            </w:pPr>
            <w:r w:rsidRPr="00870D7F">
              <w:rPr>
                <w:bCs/>
                <w:lang w:eastAsia="en-US"/>
              </w:rPr>
              <w:t xml:space="preserve">   z toho vplyv na ŠR</w:t>
            </w:r>
          </w:p>
        </w:tc>
        <w:tc>
          <w:tcPr>
            <w:tcW w:w="1698" w:type="dxa"/>
            <w:tcBorders>
              <w:top w:val="single" w:sz="4" w:space="0" w:color="auto"/>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757" w:type="dxa"/>
            <w:tcBorders>
              <w:top w:val="single" w:sz="4" w:space="0" w:color="auto"/>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701" w:type="dxa"/>
            <w:tcBorders>
              <w:top w:val="single" w:sz="4" w:space="0" w:color="auto"/>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701" w:type="dxa"/>
            <w:tcBorders>
              <w:top w:val="single" w:sz="4" w:space="0" w:color="auto"/>
              <w:left w:val="nil"/>
              <w:bottom w:val="single" w:sz="4" w:space="0" w:color="auto"/>
              <w:right w:val="single" w:sz="4" w:space="0" w:color="auto"/>
            </w:tcBorders>
          </w:tcPr>
          <w:p w:rsidR="002800A2" w:rsidRPr="00870D7F" w:rsidRDefault="002800A2" w:rsidP="002800A2">
            <w:pPr>
              <w:spacing w:line="256" w:lineRule="auto"/>
              <w:jc w:val="center"/>
              <w:rPr>
                <w:lang w:eastAsia="en-US"/>
              </w:rPr>
            </w:pPr>
            <w:r w:rsidRPr="00870D7F">
              <w:rPr>
                <w:lang w:eastAsia="en-US"/>
              </w:rPr>
              <w:t>0</w:t>
            </w:r>
          </w:p>
        </w:tc>
        <w:tc>
          <w:tcPr>
            <w:tcW w:w="1839" w:type="dxa"/>
            <w:tcBorders>
              <w:top w:val="nil"/>
              <w:left w:val="nil"/>
              <w:bottom w:val="single" w:sz="4" w:space="0" w:color="auto"/>
              <w:right w:val="single" w:sz="4" w:space="0" w:color="auto"/>
            </w:tcBorders>
            <w:noWrap/>
            <w:vAlign w:val="bottom"/>
            <w:hideMark/>
          </w:tcPr>
          <w:p w:rsidR="002800A2" w:rsidRPr="00870D7F" w:rsidRDefault="002800A2" w:rsidP="002800A2">
            <w:pPr>
              <w:spacing w:line="256" w:lineRule="auto"/>
              <w:rPr>
                <w:lang w:eastAsia="en-US"/>
              </w:rPr>
            </w:pPr>
            <w:r w:rsidRPr="00870D7F">
              <w:rPr>
                <w:lang w:eastAsia="en-US"/>
              </w:rPr>
              <w:t> </w:t>
            </w:r>
          </w:p>
        </w:tc>
      </w:tr>
      <w:tr w:rsidR="002800A2" w:rsidRPr="00870D7F" w:rsidTr="002800A2">
        <w:trPr>
          <w:gridAfter w:val="4"/>
          <w:wAfter w:w="5469" w:type="dxa"/>
          <w:trHeight w:val="255"/>
        </w:trPr>
        <w:tc>
          <w:tcPr>
            <w:tcW w:w="5479" w:type="dxa"/>
            <w:tcBorders>
              <w:top w:val="nil"/>
              <w:left w:val="single" w:sz="4" w:space="0" w:color="auto"/>
              <w:bottom w:val="single" w:sz="4" w:space="0" w:color="auto"/>
              <w:right w:val="single" w:sz="4" w:space="0" w:color="auto"/>
            </w:tcBorders>
            <w:shd w:val="clear" w:color="auto" w:fill="BFBFBF" w:themeFill="background1" w:themeFillShade="BF"/>
            <w:hideMark/>
          </w:tcPr>
          <w:p w:rsidR="002800A2" w:rsidRPr="00870D7F" w:rsidRDefault="002800A2" w:rsidP="002800A2">
            <w:pPr>
              <w:spacing w:line="256" w:lineRule="auto"/>
              <w:rPr>
                <w:bCs/>
                <w:lang w:eastAsia="en-US"/>
              </w:rPr>
            </w:pPr>
            <w:r w:rsidRPr="00870D7F">
              <w:rPr>
                <w:bCs/>
                <w:lang w:eastAsia="en-US"/>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2800A2" w:rsidRPr="00870D7F" w:rsidRDefault="002800A2" w:rsidP="002800A2">
            <w:pPr>
              <w:spacing w:line="256" w:lineRule="auto"/>
              <w:jc w:val="center"/>
              <w:rPr>
                <w:bCs/>
                <w:lang w:eastAsia="en-US"/>
              </w:rPr>
            </w:pPr>
          </w:p>
        </w:tc>
        <w:tc>
          <w:tcPr>
            <w:tcW w:w="1757" w:type="dxa"/>
            <w:tcBorders>
              <w:top w:val="nil"/>
              <w:left w:val="nil"/>
              <w:bottom w:val="single" w:sz="4" w:space="0" w:color="auto"/>
              <w:right w:val="single" w:sz="4" w:space="0" w:color="auto"/>
            </w:tcBorders>
            <w:shd w:val="clear" w:color="auto" w:fill="BFBFBF" w:themeFill="background1" w:themeFillShade="BF"/>
          </w:tcPr>
          <w:p w:rsidR="002800A2" w:rsidRPr="00870D7F" w:rsidRDefault="002800A2" w:rsidP="002800A2">
            <w:pPr>
              <w:spacing w:line="256" w:lineRule="auto"/>
              <w:jc w:val="center"/>
              <w:rPr>
                <w:bCs/>
                <w:lang w:eastAsia="en-US"/>
              </w:rPr>
            </w:pPr>
          </w:p>
        </w:tc>
        <w:tc>
          <w:tcPr>
            <w:tcW w:w="1701" w:type="dxa"/>
            <w:tcBorders>
              <w:top w:val="nil"/>
              <w:left w:val="nil"/>
              <w:bottom w:val="single" w:sz="4" w:space="0" w:color="auto"/>
              <w:right w:val="single" w:sz="4" w:space="0" w:color="auto"/>
            </w:tcBorders>
            <w:shd w:val="clear" w:color="auto" w:fill="BFBFBF" w:themeFill="background1" w:themeFillShade="BF"/>
          </w:tcPr>
          <w:p w:rsidR="002800A2" w:rsidRPr="00870D7F" w:rsidRDefault="002800A2" w:rsidP="002800A2">
            <w:pPr>
              <w:spacing w:line="256" w:lineRule="auto"/>
              <w:jc w:val="center"/>
              <w:rPr>
                <w:bCs/>
                <w:lang w:eastAsia="en-US"/>
              </w:rPr>
            </w:pPr>
          </w:p>
        </w:tc>
        <w:tc>
          <w:tcPr>
            <w:tcW w:w="1701" w:type="dxa"/>
            <w:tcBorders>
              <w:top w:val="nil"/>
              <w:left w:val="nil"/>
              <w:bottom w:val="single" w:sz="4" w:space="0" w:color="auto"/>
              <w:right w:val="single" w:sz="4" w:space="0" w:color="auto"/>
            </w:tcBorders>
            <w:shd w:val="clear" w:color="auto" w:fill="BFBFBF" w:themeFill="background1" w:themeFillShade="BF"/>
          </w:tcPr>
          <w:p w:rsidR="002800A2" w:rsidRPr="00870D7F" w:rsidRDefault="002800A2" w:rsidP="002800A2">
            <w:pPr>
              <w:spacing w:line="256" w:lineRule="auto"/>
              <w:jc w:val="center"/>
              <w:rPr>
                <w:bCs/>
                <w:lang w:eastAsia="en-US"/>
              </w:rPr>
            </w:pPr>
          </w:p>
        </w:tc>
        <w:tc>
          <w:tcPr>
            <w:tcW w:w="1839" w:type="dxa"/>
            <w:tcBorders>
              <w:top w:val="nil"/>
              <w:left w:val="nil"/>
              <w:bottom w:val="single" w:sz="4" w:space="0" w:color="auto"/>
              <w:right w:val="single" w:sz="4" w:space="0" w:color="auto"/>
            </w:tcBorders>
            <w:shd w:val="clear" w:color="auto" w:fill="BFBFBF" w:themeFill="background1" w:themeFillShade="BF"/>
            <w:noWrap/>
            <w:vAlign w:val="bottom"/>
            <w:hideMark/>
          </w:tcPr>
          <w:p w:rsidR="002800A2" w:rsidRPr="00870D7F" w:rsidRDefault="002800A2" w:rsidP="002800A2">
            <w:pPr>
              <w:spacing w:line="256" w:lineRule="auto"/>
              <w:rPr>
                <w:bCs/>
                <w:lang w:eastAsia="en-US"/>
              </w:rPr>
            </w:pPr>
            <w:r w:rsidRPr="00870D7F">
              <w:rPr>
                <w:bCs/>
                <w:lang w:eastAsia="en-US"/>
              </w:rPr>
              <w:t> </w:t>
            </w:r>
          </w:p>
        </w:tc>
      </w:tr>
      <w:tr w:rsidR="002800A2" w:rsidRPr="00870D7F" w:rsidTr="002800A2">
        <w:trPr>
          <w:gridAfter w:val="4"/>
          <w:wAfter w:w="5469" w:type="dxa"/>
          <w:trHeight w:val="255"/>
        </w:trPr>
        <w:tc>
          <w:tcPr>
            <w:tcW w:w="5479" w:type="dxa"/>
            <w:tcBorders>
              <w:top w:val="nil"/>
              <w:left w:val="single" w:sz="4" w:space="0" w:color="auto"/>
              <w:bottom w:val="single" w:sz="4" w:space="0" w:color="auto"/>
              <w:right w:val="single" w:sz="4" w:space="0" w:color="auto"/>
            </w:tcBorders>
            <w:hideMark/>
          </w:tcPr>
          <w:p w:rsidR="002800A2" w:rsidRPr="00870D7F" w:rsidRDefault="002800A2" w:rsidP="002800A2">
            <w:pPr>
              <w:spacing w:line="256" w:lineRule="auto"/>
              <w:rPr>
                <w:bCs/>
                <w:lang w:eastAsia="en-US"/>
              </w:rPr>
            </w:pPr>
            <w:r w:rsidRPr="00870D7F">
              <w:rPr>
                <w:bCs/>
                <w:lang w:eastAsia="en-US"/>
              </w:rPr>
              <w:t>Mzdy, platy, služobné príjmy a ostatné osobné vyrovnania (610)</w:t>
            </w:r>
          </w:p>
        </w:tc>
        <w:tc>
          <w:tcPr>
            <w:tcW w:w="1698"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bCs/>
                <w:lang w:eastAsia="en-US"/>
              </w:rPr>
            </w:pPr>
            <w:r w:rsidRPr="00870D7F">
              <w:rPr>
                <w:bCs/>
                <w:lang w:eastAsia="en-US"/>
              </w:rPr>
              <w:t>0</w:t>
            </w:r>
          </w:p>
        </w:tc>
        <w:tc>
          <w:tcPr>
            <w:tcW w:w="1757"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bCs/>
                <w:lang w:eastAsia="en-US"/>
              </w:rPr>
            </w:pPr>
            <w:r w:rsidRPr="00870D7F">
              <w:rPr>
                <w:bCs/>
                <w:lang w:eastAsia="en-US"/>
              </w:rPr>
              <w:t>0</w:t>
            </w:r>
          </w:p>
        </w:tc>
        <w:tc>
          <w:tcPr>
            <w:tcW w:w="1701"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bCs/>
                <w:lang w:eastAsia="en-US"/>
              </w:rPr>
            </w:pPr>
            <w:r w:rsidRPr="00870D7F">
              <w:rPr>
                <w:bCs/>
                <w:lang w:eastAsia="en-US"/>
              </w:rPr>
              <w:t>0</w:t>
            </w:r>
          </w:p>
        </w:tc>
        <w:tc>
          <w:tcPr>
            <w:tcW w:w="1701"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bCs/>
                <w:lang w:eastAsia="en-US"/>
              </w:rPr>
            </w:pPr>
            <w:r w:rsidRPr="00870D7F">
              <w:rPr>
                <w:bCs/>
                <w:lang w:eastAsia="en-US"/>
              </w:rPr>
              <w:t>0</w:t>
            </w:r>
          </w:p>
        </w:tc>
        <w:tc>
          <w:tcPr>
            <w:tcW w:w="1839" w:type="dxa"/>
            <w:tcBorders>
              <w:top w:val="nil"/>
              <w:left w:val="nil"/>
              <w:bottom w:val="single" w:sz="4" w:space="0" w:color="auto"/>
              <w:right w:val="single" w:sz="4" w:space="0" w:color="auto"/>
            </w:tcBorders>
            <w:noWrap/>
            <w:vAlign w:val="bottom"/>
            <w:hideMark/>
          </w:tcPr>
          <w:p w:rsidR="002800A2" w:rsidRPr="00870D7F" w:rsidRDefault="002800A2" w:rsidP="002800A2">
            <w:pPr>
              <w:spacing w:line="256" w:lineRule="auto"/>
              <w:rPr>
                <w:bCs/>
                <w:lang w:eastAsia="en-US"/>
              </w:rPr>
            </w:pPr>
            <w:r w:rsidRPr="00870D7F">
              <w:rPr>
                <w:bCs/>
                <w:lang w:eastAsia="en-US"/>
              </w:rPr>
              <w:t> </w:t>
            </w:r>
          </w:p>
        </w:tc>
      </w:tr>
      <w:tr w:rsidR="002800A2" w:rsidRPr="00870D7F" w:rsidTr="002800A2">
        <w:trPr>
          <w:gridAfter w:val="4"/>
          <w:wAfter w:w="5469" w:type="dxa"/>
          <w:trHeight w:val="255"/>
        </w:trPr>
        <w:tc>
          <w:tcPr>
            <w:tcW w:w="5479" w:type="dxa"/>
            <w:tcBorders>
              <w:top w:val="nil"/>
              <w:left w:val="single" w:sz="4" w:space="0" w:color="auto"/>
              <w:bottom w:val="single" w:sz="4" w:space="0" w:color="auto"/>
              <w:right w:val="single" w:sz="4" w:space="0" w:color="auto"/>
            </w:tcBorders>
            <w:hideMark/>
          </w:tcPr>
          <w:p w:rsidR="002800A2" w:rsidRPr="00870D7F" w:rsidRDefault="002800A2" w:rsidP="002800A2">
            <w:pPr>
              <w:spacing w:line="256" w:lineRule="auto"/>
              <w:rPr>
                <w:lang w:eastAsia="en-US"/>
              </w:rPr>
            </w:pPr>
            <w:r w:rsidRPr="00870D7F">
              <w:rPr>
                <w:bCs/>
                <w:lang w:eastAsia="en-US"/>
              </w:rPr>
              <w:t xml:space="preserve">   z toho vplyv na ŠR</w:t>
            </w:r>
          </w:p>
        </w:tc>
        <w:tc>
          <w:tcPr>
            <w:tcW w:w="1698"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bCs/>
                <w:lang w:eastAsia="en-US"/>
              </w:rPr>
            </w:pPr>
            <w:r w:rsidRPr="00870D7F">
              <w:rPr>
                <w:bCs/>
                <w:lang w:eastAsia="en-US"/>
              </w:rPr>
              <w:t>0</w:t>
            </w:r>
          </w:p>
        </w:tc>
        <w:tc>
          <w:tcPr>
            <w:tcW w:w="1757"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bCs/>
                <w:lang w:eastAsia="en-US"/>
              </w:rPr>
            </w:pPr>
            <w:r w:rsidRPr="00870D7F">
              <w:rPr>
                <w:bCs/>
                <w:lang w:eastAsia="en-US"/>
              </w:rPr>
              <w:t>0</w:t>
            </w:r>
          </w:p>
        </w:tc>
        <w:tc>
          <w:tcPr>
            <w:tcW w:w="1701"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bCs/>
                <w:lang w:eastAsia="en-US"/>
              </w:rPr>
            </w:pPr>
            <w:r w:rsidRPr="00870D7F">
              <w:rPr>
                <w:bCs/>
                <w:lang w:eastAsia="en-US"/>
              </w:rPr>
              <w:t>0</w:t>
            </w:r>
          </w:p>
        </w:tc>
        <w:tc>
          <w:tcPr>
            <w:tcW w:w="1701"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bCs/>
                <w:lang w:eastAsia="en-US"/>
              </w:rPr>
            </w:pPr>
            <w:r w:rsidRPr="00870D7F">
              <w:rPr>
                <w:bCs/>
                <w:lang w:eastAsia="en-US"/>
              </w:rPr>
              <w:t>0</w:t>
            </w:r>
          </w:p>
        </w:tc>
        <w:tc>
          <w:tcPr>
            <w:tcW w:w="1839" w:type="dxa"/>
            <w:tcBorders>
              <w:top w:val="nil"/>
              <w:left w:val="nil"/>
              <w:bottom w:val="single" w:sz="4" w:space="0" w:color="auto"/>
              <w:right w:val="single" w:sz="4" w:space="0" w:color="auto"/>
            </w:tcBorders>
            <w:noWrap/>
            <w:vAlign w:val="bottom"/>
            <w:hideMark/>
          </w:tcPr>
          <w:p w:rsidR="002800A2" w:rsidRPr="00870D7F" w:rsidRDefault="002800A2" w:rsidP="002800A2">
            <w:pPr>
              <w:spacing w:line="256" w:lineRule="auto"/>
              <w:rPr>
                <w:lang w:eastAsia="en-US"/>
              </w:rPr>
            </w:pPr>
            <w:r w:rsidRPr="00870D7F">
              <w:rPr>
                <w:lang w:eastAsia="en-US"/>
              </w:rPr>
              <w:t> </w:t>
            </w:r>
          </w:p>
        </w:tc>
      </w:tr>
      <w:tr w:rsidR="002800A2" w:rsidRPr="00870D7F" w:rsidTr="002800A2">
        <w:trPr>
          <w:gridAfter w:val="4"/>
          <w:wAfter w:w="5469" w:type="dxa"/>
          <w:trHeight w:val="255"/>
        </w:trPr>
        <w:tc>
          <w:tcPr>
            <w:tcW w:w="5479" w:type="dxa"/>
            <w:tcBorders>
              <w:top w:val="nil"/>
              <w:left w:val="single" w:sz="4" w:space="0" w:color="auto"/>
              <w:bottom w:val="single" w:sz="4" w:space="0" w:color="auto"/>
              <w:right w:val="single" w:sz="4" w:space="0" w:color="auto"/>
            </w:tcBorders>
            <w:hideMark/>
          </w:tcPr>
          <w:p w:rsidR="002800A2" w:rsidRPr="00870D7F" w:rsidRDefault="002800A2" w:rsidP="002800A2">
            <w:pPr>
              <w:spacing w:line="256" w:lineRule="auto"/>
              <w:rPr>
                <w:bCs/>
                <w:lang w:eastAsia="en-US"/>
              </w:rPr>
            </w:pPr>
            <w:r w:rsidRPr="00870D7F">
              <w:rPr>
                <w:bCs/>
                <w:lang w:eastAsia="en-US"/>
              </w:rPr>
              <w:t>Poistné a príspevok do poisťovní (620)</w:t>
            </w:r>
          </w:p>
        </w:tc>
        <w:tc>
          <w:tcPr>
            <w:tcW w:w="1698"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bCs/>
                <w:lang w:eastAsia="en-US"/>
              </w:rPr>
            </w:pPr>
            <w:r w:rsidRPr="00870D7F">
              <w:rPr>
                <w:bCs/>
                <w:lang w:eastAsia="en-US"/>
              </w:rPr>
              <w:t>0</w:t>
            </w:r>
          </w:p>
        </w:tc>
        <w:tc>
          <w:tcPr>
            <w:tcW w:w="1757"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bCs/>
                <w:lang w:eastAsia="en-US"/>
              </w:rPr>
            </w:pPr>
            <w:r w:rsidRPr="00870D7F">
              <w:rPr>
                <w:bCs/>
                <w:lang w:eastAsia="en-US"/>
              </w:rPr>
              <w:t>0</w:t>
            </w:r>
          </w:p>
        </w:tc>
        <w:tc>
          <w:tcPr>
            <w:tcW w:w="1701"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bCs/>
                <w:lang w:eastAsia="en-US"/>
              </w:rPr>
            </w:pPr>
            <w:r w:rsidRPr="00870D7F">
              <w:rPr>
                <w:bCs/>
                <w:lang w:eastAsia="en-US"/>
              </w:rPr>
              <w:t>0</w:t>
            </w:r>
          </w:p>
        </w:tc>
        <w:tc>
          <w:tcPr>
            <w:tcW w:w="1701"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bCs/>
                <w:lang w:eastAsia="en-US"/>
              </w:rPr>
            </w:pPr>
            <w:r w:rsidRPr="00870D7F">
              <w:rPr>
                <w:bCs/>
                <w:lang w:eastAsia="en-US"/>
              </w:rPr>
              <w:t>0</w:t>
            </w:r>
          </w:p>
        </w:tc>
        <w:tc>
          <w:tcPr>
            <w:tcW w:w="1839" w:type="dxa"/>
            <w:tcBorders>
              <w:top w:val="nil"/>
              <w:left w:val="nil"/>
              <w:bottom w:val="single" w:sz="4" w:space="0" w:color="auto"/>
              <w:right w:val="single" w:sz="4" w:space="0" w:color="auto"/>
            </w:tcBorders>
            <w:noWrap/>
            <w:vAlign w:val="bottom"/>
            <w:hideMark/>
          </w:tcPr>
          <w:p w:rsidR="002800A2" w:rsidRPr="00870D7F" w:rsidRDefault="002800A2" w:rsidP="002800A2">
            <w:pPr>
              <w:spacing w:line="256" w:lineRule="auto"/>
              <w:rPr>
                <w:bCs/>
                <w:lang w:eastAsia="en-US"/>
              </w:rPr>
            </w:pPr>
            <w:r w:rsidRPr="00870D7F">
              <w:rPr>
                <w:bCs/>
                <w:lang w:eastAsia="en-US"/>
              </w:rPr>
              <w:t> </w:t>
            </w:r>
          </w:p>
        </w:tc>
      </w:tr>
      <w:tr w:rsidR="002800A2" w:rsidRPr="00870D7F" w:rsidTr="002800A2">
        <w:trPr>
          <w:gridAfter w:val="4"/>
          <w:wAfter w:w="5469" w:type="dxa"/>
          <w:trHeight w:val="255"/>
        </w:trPr>
        <w:tc>
          <w:tcPr>
            <w:tcW w:w="5479" w:type="dxa"/>
            <w:tcBorders>
              <w:top w:val="nil"/>
              <w:left w:val="single" w:sz="4" w:space="0" w:color="auto"/>
              <w:bottom w:val="single" w:sz="4" w:space="0" w:color="auto"/>
              <w:right w:val="single" w:sz="4" w:space="0" w:color="auto"/>
            </w:tcBorders>
            <w:hideMark/>
          </w:tcPr>
          <w:p w:rsidR="002800A2" w:rsidRPr="00870D7F" w:rsidRDefault="002800A2" w:rsidP="002800A2">
            <w:pPr>
              <w:spacing w:line="256" w:lineRule="auto"/>
              <w:rPr>
                <w:lang w:eastAsia="en-US"/>
              </w:rPr>
            </w:pPr>
            <w:r w:rsidRPr="00870D7F">
              <w:rPr>
                <w:bCs/>
                <w:lang w:eastAsia="en-US"/>
              </w:rPr>
              <w:t xml:space="preserve">   z toho vplyv na ŠR</w:t>
            </w:r>
          </w:p>
        </w:tc>
        <w:tc>
          <w:tcPr>
            <w:tcW w:w="1698"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bCs/>
                <w:lang w:eastAsia="en-US"/>
              </w:rPr>
            </w:pPr>
            <w:r w:rsidRPr="00870D7F">
              <w:rPr>
                <w:bCs/>
                <w:lang w:eastAsia="en-US"/>
              </w:rPr>
              <w:t>0</w:t>
            </w:r>
          </w:p>
        </w:tc>
        <w:tc>
          <w:tcPr>
            <w:tcW w:w="1757"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bCs/>
                <w:lang w:eastAsia="en-US"/>
              </w:rPr>
            </w:pPr>
            <w:r w:rsidRPr="00870D7F">
              <w:rPr>
                <w:bCs/>
                <w:lang w:eastAsia="en-US"/>
              </w:rPr>
              <w:t>0</w:t>
            </w:r>
          </w:p>
        </w:tc>
        <w:tc>
          <w:tcPr>
            <w:tcW w:w="1701"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bCs/>
                <w:lang w:eastAsia="en-US"/>
              </w:rPr>
            </w:pPr>
            <w:r w:rsidRPr="00870D7F">
              <w:rPr>
                <w:bCs/>
                <w:lang w:eastAsia="en-US"/>
              </w:rPr>
              <w:t>0</w:t>
            </w:r>
          </w:p>
        </w:tc>
        <w:tc>
          <w:tcPr>
            <w:tcW w:w="1701" w:type="dxa"/>
            <w:tcBorders>
              <w:top w:val="nil"/>
              <w:left w:val="nil"/>
              <w:bottom w:val="single" w:sz="4" w:space="0" w:color="auto"/>
              <w:right w:val="single" w:sz="4" w:space="0" w:color="auto"/>
            </w:tcBorders>
          </w:tcPr>
          <w:p w:rsidR="002800A2" w:rsidRPr="00870D7F" w:rsidRDefault="002800A2" w:rsidP="002800A2">
            <w:pPr>
              <w:spacing w:line="256" w:lineRule="auto"/>
              <w:jc w:val="center"/>
              <w:rPr>
                <w:bCs/>
                <w:lang w:eastAsia="en-US"/>
              </w:rPr>
            </w:pPr>
            <w:r w:rsidRPr="00870D7F">
              <w:rPr>
                <w:bCs/>
                <w:lang w:eastAsia="en-US"/>
              </w:rPr>
              <w:t>0</w:t>
            </w:r>
          </w:p>
        </w:tc>
        <w:tc>
          <w:tcPr>
            <w:tcW w:w="1839" w:type="dxa"/>
            <w:tcBorders>
              <w:top w:val="nil"/>
              <w:left w:val="nil"/>
              <w:bottom w:val="single" w:sz="4" w:space="0" w:color="auto"/>
              <w:right w:val="single" w:sz="4" w:space="0" w:color="auto"/>
            </w:tcBorders>
            <w:noWrap/>
            <w:vAlign w:val="bottom"/>
            <w:hideMark/>
          </w:tcPr>
          <w:p w:rsidR="002800A2" w:rsidRPr="00870D7F" w:rsidRDefault="002800A2" w:rsidP="002800A2">
            <w:pPr>
              <w:spacing w:line="256" w:lineRule="auto"/>
              <w:rPr>
                <w:lang w:eastAsia="en-US"/>
              </w:rPr>
            </w:pPr>
            <w:r w:rsidRPr="00870D7F">
              <w:rPr>
                <w:lang w:eastAsia="en-US"/>
              </w:rPr>
              <w:t> </w:t>
            </w:r>
          </w:p>
        </w:tc>
      </w:tr>
      <w:tr w:rsidR="002800A2" w:rsidRPr="00870D7F" w:rsidTr="00252F43">
        <w:trPr>
          <w:trHeight w:val="255"/>
        </w:trPr>
        <w:tc>
          <w:tcPr>
            <w:tcW w:w="14175" w:type="dxa"/>
            <w:gridSpan w:val="6"/>
            <w:noWrap/>
            <w:vAlign w:val="bottom"/>
          </w:tcPr>
          <w:p w:rsidR="002800A2" w:rsidRPr="00870D7F" w:rsidRDefault="002800A2" w:rsidP="002800A2">
            <w:pPr>
              <w:spacing w:line="256" w:lineRule="auto"/>
              <w:rPr>
                <w:color w:val="44546A" w:themeColor="text2"/>
                <w:sz w:val="24"/>
                <w:szCs w:val="24"/>
                <w:lang w:eastAsia="en-US"/>
              </w:rPr>
            </w:pPr>
          </w:p>
        </w:tc>
        <w:tc>
          <w:tcPr>
            <w:tcW w:w="2127" w:type="dxa"/>
            <w:gridSpan w:val="2"/>
            <w:noWrap/>
            <w:vAlign w:val="bottom"/>
          </w:tcPr>
          <w:p w:rsidR="002800A2" w:rsidRPr="00870D7F" w:rsidRDefault="002800A2" w:rsidP="002800A2">
            <w:pPr>
              <w:spacing w:line="256" w:lineRule="auto"/>
              <w:rPr>
                <w:sz w:val="24"/>
                <w:szCs w:val="24"/>
                <w:lang w:eastAsia="en-US"/>
              </w:rPr>
            </w:pPr>
          </w:p>
        </w:tc>
        <w:tc>
          <w:tcPr>
            <w:tcW w:w="2352" w:type="dxa"/>
            <w:noWrap/>
            <w:vAlign w:val="bottom"/>
          </w:tcPr>
          <w:p w:rsidR="002800A2" w:rsidRPr="00870D7F" w:rsidRDefault="002800A2" w:rsidP="002800A2">
            <w:pPr>
              <w:spacing w:line="256" w:lineRule="auto"/>
              <w:rPr>
                <w:sz w:val="24"/>
                <w:szCs w:val="24"/>
                <w:lang w:eastAsia="en-US"/>
              </w:rPr>
            </w:pPr>
          </w:p>
        </w:tc>
        <w:tc>
          <w:tcPr>
            <w:tcW w:w="990" w:type="dxa"/>
            <w:noWrap/>
            <w:vAlign w:val="bottom"/>
          </w:tcPr>
          <w:p w:rsidR="002800A2" w:rsidRPr="00870D7F" w:rsidRDefault="002800A2" w:rsidP="002800A2">
            <w:pPr>
              <w:spacing w:line="256" w:lineRule="auto"/>
              <w:rPr>
                <w:sz w:val="24"/>
                <w:szCs w:val="24"/>
                <w:lang w:eastAsia="en-US"/>
              </w:rPr>
            </w:pPr>
          </w:p>
        </w:tc>
      </w:tr>
      <w:tr w:rsidR="002800A2" w:rsidRPr="00870D7F" w:rsidTr="00252F43">
        <w:trPr>
          <w:trHeight w:val="255"/>
        </w:trPr>
        <w:tc>
          <w:tcPr>
            <w:tcW w:w="14604" w:type="dxa"/>
            <w:gridSpan w:val="7"/>
            <w:noWrap/>
            <w:vAlign w:val="bottom"/>
          </w:tcPr>
          <w:p w:rsidR="002800A2" w:rsidRPr="00870D7F" w:rsidRDefault="002800A2" w:rsidP="002800A2">
            <w:pPr>
              <w:spacing w:line="256" w:lineRule="auto"/>
              <w:rPr>
                <w:sz w:val="24"/>
                <w:szCs w:val="24"/>
                <w:lang w:eastAsia="en-US"/>
              </w:rPr>
            </w:pPr>
          </w:p>
        </w:tc>
        <w:tc>
          <w:tcPr>
            <w:tcW w:w="1698" w:type="dxa"/>
            <w:noWrap/>
            <w:vAlign w:val="bottom"/>
          </w:tcPr>
          <w:p w:rsidR="002800A2" w:rsidRPr="00870D7F" w:rsidRDefault="002800A2" w:rsidP="002800A2">
            <w:pPr>
              <w:spacing w:line="256" w:lineRule="auto"/>
              <w:ind w:left="738"/>
              <w:rPr>
                <w:sz w:val="24"/>
                <w:szCs w:val="24"/>
                <w:lang w:eastAsia="en-US"/>
              </w:rPr>
            </w:pPr>
          </w:p>
        </w:tc>
        <w:tc>
          <w:tcPr>
            <w:tcW w:w="2352" w:type="dxa"/>
            <w:noWrap/>
            <w:vAlign w:val="bottom"/>
          </w:tcPr>
          <w:p w:rsidR="002800A2" w:rsidRPr="00870D7F" w:rsidRDefault="002800A2" w:rsidP="002800A2">
            <w:pPr>
              <w:spacing w:line="256" w:lineRule="auto"/>
              <w:rPr>
                <w:sz w:val="24"/>
                <w:szCs w:val="24"/>
                <w:lang w:eastAsia="en-US"/>
              </w:rPr>
            </w:pPr>
          </w:p>
        </w:tc>
        <w:tc>
          <w:tcPr>
            <w:tcW w:w="990" w:type="dxa"/>
            <w:noWrap/>
            <w:vAlign w:val="bottom"/>
          </w:tcPr>
          <w:p w:rsidR="002800A2" w:rsidRPr="00870D7F" w:rsidRDefault="002800A2" w:rsidP="002800A2">
            <w:pPr>
              <w:spacing w:line="256" w:lineRule="auto"/>
              <w:rPr>
                <w:sz w:val="24"/>
                <w:szCs w:val="24"/>
                <w:lang w:eastAsia="en-US"/>
              </w:rPr>
            </w:pPr>
          </w:p>
        </w:tc>
      </w:tr>
    </w:tbl>
    <w:p w:rsidR="00252F43" w:rsidRPr="00870D7F" w:rsidRDefault="00252F43" w:rsidP="00252F43">
      <w:pPr>
        <w:rPr>
          <w:b/>
          <w:bCs/>
          <w:sz w:val="24"/>
          <w:szCs w:val="24"/>
        </w:rPr>
        <w:sectPr w:rsidR="00252F43" w:rsidRPr="00870D7F">
          <w:pgSz w:w="16838" w:h="11906" w:orient="landscape"/>
          <w:pgMar w:top="1418" w:right="1418" w:bottom="1418" w:left="1418" w:header="709" w:footer="709" w:gutter="0"/>
          <w:cols w:space="708"/>
        </w:sectPr>
      </w:pPr>
    </w:p>
    <w:p w:rsidR="003F0E82" w:rsidRPr="00870D7F" w:rsidRDefault="003F0E82" w:rsidP="003F0E82"/>
    <w:tbl>
      <w:tblPr>
        <w:tblW w:w="937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3516"/>
        <w:gridCol w:w="1148"/>
        <w:gridCol w:w="1549"/>
        <w:gridCol w:w="679"/>
        <w:gridCol w:w="912"/>
        <w:gridCol w:w="1571"/>
      </w:tblGrid>
      <w:tr w:rsidR="003F0E82" w:rsidRPr="00870D7F" w:rsidTr="003F0E82">
        <w:trPr>
          <w:trHeight w:val="20"/>
        </w:trPr>
        <w:tc>
          <w:tcPr>
            <w:tcW w:w="9375"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3F0E82" w:rsidRPr="00870D7F" w:rsidRDefault="003F0E82">
            <w:pPr>
              <w:spacing w:line="254" w:lineRule="auto"/>
              <w:jc w:val="center"/>
              <w:rPr>
                <w:b/>
                <w:bCs/>
                <w:sz w:val="28"/>
                <w:szCs w:val="28"/>
                <w:lang w:eastAsia="en-US"/>
              </w:rPr>
            </w:pPr>
            <w:r w:rsidRPr="00870D7F">
              <w:rPr>
                <w:b/>
                <w:bCs/>
                <w:sz w:val="28"/>
                <w:szCs w:val="28"/>
                <w:lang w:eastAsia="en-US"/>
              </w:rPr>
              <w:t>Analýza vplyvov na informatizáciu spoločnosti</w:t>
            </w:r>
          </w:p>
          <w:p w:rsidR="003F0E82" w:rsidRPr="00870D7F" w:rsidRDefault="003F0E82">
            <w:pPr>
              <w:spacing w:line="254" w:lineRule="auto"/>
              <w:jc w:val="center"/>
              <w:rPr>
                <w:b/>
                <w:i/>
                <w:iCs/>
                <w:sz w:val="2"/>
                <w:szCs w:val="22"/>
                <w:lang w:eastAsia="en-US"/>
              </w:rPr>
            </w:pPr>
            <w:r w:rsidRPr="00870D7F">
              <w:rPr>
                <w:b/>
                <w:sz w:val="24"/>
                <w:szCs w:val="24"/>
                <w:lang w:eastAsia="en-US"/>
              </w:rPr>
              <w:t>Budovanie základných pilierov informatizácie</w:t>
            </w:r>
          </w:p>
        </w:tc>
      </w:tr>
      <w:tr w:rsidR="003F0E82" w:rsidRPr="00870D7F" w:rsidTr="003F0E82">
        <w:trPr>
          <w:trHeight w:val="681"/>
        </w:trPr>
        <w:tc>
          <w:tcPr>
            <w:tcW w:w="351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F0E82" w:rsidRPr="00870D7F" w:rsidRDefault="003F0E82">
            <w:pPr>
              <w:spacing w:line="254" w:lineRule="auto"/>
              <w:jc w:val="center"/>
              <w:rPr>
                <w:b/>
                <w:sz w:val="24"/>
                <w:szCs w:val="22"/>
                <w:lang w:eastAsia="en-US"/>
              </w:rPr>
            </w:pPr>
            <w:r w:rsidRPr="00870D7F">
              <w:rPr>
                <w:b/>
                <w:sz w:val="24"/>
                <w:szCs w:val="22"/>
                <w:lang w:eastAsia="en-US"/>
              </w:rPr>
              <w:t>Obsah</w:t>
            </w:r>
          </w:p>
        </w:tc>
        <w:tc>
          <w:tcPr>
            <w:tcW w:w="114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F0E82" w:rsidRPr="00870D7F" w:rsidRDefault="003F0E82">
            <w:pPr>
              <w:spacing w:line="254" w:lineRule="auto"/>
              <w:jc w:val="center"/>
              <w:rPr>
                <w:b/>
                <w:sz w:val="24"/>
                <w:szCs w:val="22"/>
                <w:lang w:eastAsia="en-US"/>
              </w:rPr>
            </w:pPr>
            <w:r w:rsidRPr="00870D7F">
              <w:rPr>
                <w:b/>
                <w:sz w:val="24"/>
                <w:szCs w:val="22"/>
                <w:lang w:eastAsia="en-US"/>
              </w:rPr>
              <w:t>A – nová služba</w:t>
            </w:r>
          </w:p>
          <w:p w:rsidR="003F0E82" w:rsidRPr="00870D7F" w:rsidRDefault="003F0E82">
            <w:pPr>
              <w:spacing w:line="254" w:lineRule="auto"/>
              <w:jc w:val="center"/>
              <w:rPr>
                <w:i/>
                <w:iCs/>
                <w:sz w:val="24"/>
                <w:szCs w:val="22"/>
                <w:lang w:eastAsia="en-US"/>
              </w:rPr>
            </w:pPr>
            <w:r w:rsidRPr="00870D7F">
              <w:rPr>
                <w:b/>
                <w:sz w:val="24"/>
                <w:szCs w:val="22"/>
                <w:lang w:eastAsia="en-US"/>
              </w:rPr>
              <w:t>B – zmena služby</w:t>
            </w:r>
          </w:p>
        </w:tc>
        <w:tc>
          <w:tcPr>
            <w:tcW w:w="1549" w:type="dxa"/>
            <w:tcBorders>
              <w:top w:val="single" w:sz="4" w:space="0" w:color="auto"/>
              <w:left w:val="single" w:sz="4" w:space="0" w:color="auto"/>
              <w:bottom w:val="single" w:sz="4" w:space="0" w:color="auto"/>
              <w:right w:val="single" w:sz="4" w:space="0" w:color="auto"/>
            </w:tcBorders>
            <w:shd w:val="clear" w:color="auto" w:fill="C0C0C0"/>
            <w:vAlign w:val="center"/>
          </w:tcPr>
          <w:p w:rsidR="003F0E82" w:rsidRPr="00870D7F" w:rsidRDefault="003F0E82">
            <w:pPr>
              <w:spacing w:line="254" w:lineRule="auto"/>
              <w:jc w:val="center"/>
              <w:rPr>
                <w:i/>
                <w:iCs/>
                <w:sz w:val="24"/>
                <w:szCs w:val="22"/>
                <w:lang w:eastAsia="en-US"/>
              </w:rPr>
            </w:pPr>
          </w:p>
          <w:p w:rsidR="003F0E82" w:rsidRPr="00870D7F" w:rsidRDefault="003F0E82">
            <w:pPr>
              <w:spacing w:after="200" w:line="254" w:lineRule="auto"/>
              <w:jc w:val="center"/>
              <w:rPr>
                <w:sz w:val="24"/>
                <w:szCs w:val="22"/>
                <w:lang w:eastAsia="en-US"/>
              </w:rPr>
            </w:pPr>
            <w:r w:rsidRPr="00870D7F">
              <w:rPr>
                <w:b/>
                <w:sz w:val="24"/>
                <w:szCs w:val="22"/>
                <w:lang w:eastAsia="en-US"/>
              </w:rPr>
              <w:t>Kód služby</w:t>
            </w:r>
          </w:p>
        </w:tc>
        <w:tc>
          <w:tcPr>
            <w:tcW w:w="159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F0E82" w:rsidRPr="00870D7F" w:rsidRDefault="003F0E82">
            <w:pPr>
              <w:spacing w:line="254" w:lineRule="auto"/>
              <w:jc w:val="center"/>
              <w:rPr>
                <w:b/>
                <w:sz w:val="24"/>
                <w:szCs w:val="22"/>
                <w:lang w:eastAsia="en-US"/>
              </w:rPr>
            </w:pPr>
          </w:p>
          <w:p w:rsidR="003F0E82" w:rsidRPr="00870D7F" w:rsidRDefault="003F0E82">
            <w:pPr>
              <w:spacing w:line="254" w:lineRule="auto"/>
              <w:jc w:val="center"/>
              <w:rPr>
                <w:i/>
                <w:iCs/>
                <w:sz w:val="24"/>
                <w:szCs w:val="22"/>
                <w:lang w:eastAsia="en-US"/>
              </w:rPr>
            </w:pPr>
            <w:r w:rsidRPr="00870D7F">
              <w:rPr>
                <w:b/>
                <w:sz w:val="24"/>
                <w:szCs w:val="22"/>
                <w:lang w:eastAsia="en-US"/>
              </w:rPr>
              <w:t>Názov služby</w:t>
            </w:r>
          </w:p>
        </w:tc>
        <w:tc>
          <w:tcPr>
            <w:tcW w:w="157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F0E82" w:rsidRPr="00870D7F" w:rsidRDefault="003F0E82">
            <w:pPr>
              <w:spacing w:line="254" w:lineRule="auto"/>
              <w:jc w:val="center"/>
              <w:rPr>
                <w:b/>
                <w:sz w:val="24"/>
                <w:szCs w:val="22"/>
                <w:lang w:eastAsia="en-US"/>
              </w:rPr>
            </w:pPr>
            <w:r w:rsidRPr="00870D7F">
              <w:rPr>
                <w:b/>
                <w:sz w:val="24"/>
                <w:szCs w:val="22"/>
                <w:lang w:eastAsia="en-US"/>
              </w:rPr>
              <w:t>Úroveň elektronizácie služby</w:t>
            </w:r>
          </w:p>
          <w:p w:rsidR="003F0E82" w:rsidRPr="00870D7F" w:rsidRDefault="003F0E82">
            <w:pPr>
              <w:spacing w:line="254" w:lineRule="auto"/>
              <w:jc w:val="center"/>
              <w:rPr>
                <w:i/>
                <w:iCs/>
                <w:sz w:val="24"/>
                <w:szCs w:val="22"/>
                <w:lang w:eastAsia="en-US"/>
              </w:rPr>
            </w:pPr>
            <w:r w:rsidRPr="00870D7F">
              <w:rPr>
                <w:b/>
                <w:sz w:val="24"/>
                <w:szCs w:val="22"/>
                <w:lang w:eastAsia="en-US"/>
              </w:rPr>
              <w:t>(0 až 5)</w:t>
            </w:r>
          </w:p>
        </w:tc>
      </w:tr>
      <w:tr w:rsidR="003F0E82" w:rsidRPr="00870D7F" w:rsidTr="003F0E82">
        <w:trPr>
          <w:trHeight w:val="20"/>
        </w:trPr>
        <w:tc>
          <w:tcPr>
            <w:tcW w:w="3516" w:type="dxa"/>
            <w:tcBorders>
              <w:top w:val="single" w:sz="4" w:space="0" w:color="auto"/>
              <w:left w:val="single" w:sz="4" w:space="0" w:color="auto"/>
              <w:bottom w:val="single" w:sz="4" w:space="0" w:color="auto"/>
              <w:right w:val="single" w:sz="4" w:space="0" w:color="auto"/>
            </w:tcBorders>
          </w:tcPr>
          <w:p w:rsidR="003F0E82" w:rsidRPr="00870D7F" w:rsidRDefault="003F0E82">
            <w:pPr>
              <w:spacing w:line="254" w:lineRule="auto"/>
              <w:jc w:val="both"/>
              <w:rPr>
                <w:szCs w:val="22"/>
                <w:lang w:eastAsia="en-US"/>
              </w:rPr>
            </w:pPr>
            <w:r w:rsidRPr="00870D7F">
              <w:rPr>
                <w:b/>
                <w:szCs w:val="22"/>
                <w:lang w:eastAsia="en-US"/>
              </w:rPr>
              <w:t>6.1.</w:t>
            </w:r>
            <w:r w:rsidRPr="00870D7F">
              <w:rPr>
                <w:szCs w:val="22"/>
                <w:lang w:eastAsia="en-US"/>
              </w:rPr>
              <w:t xml:space="preserve"> Predpokladá predložený návrh zmenu existujúcich elektronických služieb verejnej správy alebo vytvorenie nových služieb?</w:t>
            </w:r>
          </w:p>
          <w:p w:rsidR="003F0E82" w:rsidRPr="00870D7F" w:rsidRDefault="003F0E82">
            <w:pPr>
              <w:spacing w:line="20" w:lineRule="atLeast"/>
              <w:jc w:val="both"/>
              <w:rPr>
                <w:i/>
                <w:iCs/>
                <w:szCs w:val="22"/>
                <w:lang w:eastAsia="en-US"/>
              </w:rPr>
            </w:pPr>
          </w:p>
          <w:p w:rsidR="003F0E82" w:rsidRPr="00870D7F" w:rsidRDefault="003F0E82">
            <w:pPr>
              <w:spacing w:line="20" w:lineRule="atLeast"/>
              <w:jc w:val="both"/>
              <w:rPr>
                <w:i/>
                <w:iCs/>
                <w:szCs w:val="22"/>
                <w:lang w:eastAsia="en-US"/>
              </w:rPr>
            </w:pPr>
          </w:p>
          <w:p w:rsidR="003F0E82" w:rsidRPr="00870D7F" w:rsidRDefault="003F0E82">
            <w:pPr>
              <w:spacing w:line="20" w:lineRule="atLeast"/>
              <w:jc w:val="both"/>
              <w:rPr>
                <w:i/>
                <w:iCs/>
                <w:szCs w:val="22"/>
                <w:lang w:eastAsia="en-US"/>
              </w:rPr>
            </w:pPr>
          </w:p>
          <w:p w:rsidR="003F0E82" w:rsidRPr="00870D7F" w:rsidRDefault="003F0E82">
            <w:pPr>
              <w:spacing w:line="20" w:lineRule="atLeast"/>
              <w:jc w:val="both"/>
              <w:rPr>
                <w:i/>
                <w:iCs/>
                <w:szCs w:val="22"/>
                <w:lang w:eastAsia="en-US"/>
              </w:rPr>
            </w:pPr>
          </w:p>
          <w:p w:rsidR="003F0E82" w:rsidRPr="00870D7F" w:rsidRDefault="003F0E82">
            <w:pPr>
              <w:spacing w:line="20" w:lineRule="atLeast"/>
              <w:jc w:val="both"/>
              <w:rPr>
                <w:i/>
                <w:iCs/>
                <w:szCs w:val="22"/>
                <w:lang w:eastAsia="en-US"/>
              </w:rPr>
            </w:pPr>
          </w:p>
          <w:p w:rsidR="003F0E82" w:rsidRPr="00870D7F" w:rsidRDefault="003F0E82">
            <w:pPr>
              <w:spacing w:line="20" w:lineRule="atLeast"/>
              <w:jc w:val="both"/>
              <w:rPr>
                <w:i/>
                <w:iCs/>
                <w:szCs w:val="22"/>
                <w:lang w:eastAsia="en-US"/>
              </w:rPr>
            </w:pPr>
          </w:p>
          <w:p w:rsidR="003F0E82" w:rsidRPr="00870D7F" w:rsidRDefault="003F0E82">
            <w:pPr>
              <w:spacing w:line="20" w:lineRule="atLeast"/>
              <w:jc w:val="both"/>
              <w:rPr>
                <w:b/>
                <w:sz w:val="22"/>
                <w:szCs w:val="22"/>
                <w:lang w:eastAsia="en-US"/>
              </w:rPr>
            </w:pPr>
            <w:r w:rsidRPr="00870D7F">
              <w:rPr>
                <w:i/>
                <w:iCs/>
                <w:szCs w:val="22"/>
                <w:lang w:eastAsia="en-US"/>
              </w:rPr>
              <w:t>(Ak áno, uveďte zmenu služby alebo vytvorenie novej služby, ďalej  jej kód, názov a úroveň elektronizácie podľa katalógu eGovernment služieb, ktorý je vedený v centrálnom metainformačnom systéme verejnej správy.)</w:t>
            </w:r>
          </w:p>
        </w:tc>
        <w:tc>
          <w:tcPr>
            <w:tcW w:w="1148" w:type="dxa"/>
            <w:tcBorders>
              <w:top w:val="single" w:sz="4" w:space="0" w:color="auto"/>
              <w:left w:val="single" w:sz="4" w:space="0" w:color="auto"/>
              <w:bottom w:val="single" w:sz="4" w:space="0" w:color="auto"/>
              <w:right w:val="single" w:sz="4" w:space="0" w:color="auto"/>
            </w:tcBorders>
          </w:tcPr>
          <w:p w:rsidR="003F0E82" w:rsidRPr="00870D7F" w:rsidRDefault="003F0E82">
            <w:pPr>
              <w:spacing w:line="254" w:lineRule="auto"/>
              <w:jc w:val="center"/>
              <w:rPr>
                <w:b/>
                <w:sz w:val="22"/>
                <w:szCs w:val="22"/>
                <w:lang w:eastAsia="en-US"/>
              </w:rPr>
            </w:pPr>
            <w:r w:rsidRPr="00870D7F">
              <w:rPr>
                <w:b/>
                <w:sz w:val="22"/>
                <w:szCs w:val="22"/>
                <w:lang w:eastAsia="en-US"/>
              </w:rPr>
              <w:t>A</w:t>
            </w:r>
          </w:p>
          <w:p w:rsidR="003F0E82" w:rsidRPr="00870D7F" w:rsidRDefault="003F0E82">
            <w:pPr>
              <w:spacing w:line="254" w:lineRule="auto"/>
              <w:jc w:val="center"/>
              <w:rPr>
                <w:b/>
                <w:lang w:eastAsia="en-US"/>
              </w:rPr>
            </w:pPr>
          </w:p>
          <w:p w:rsidR="003F0E82" w:rsidRPr="00870D7F" w:rsidRDefault="003F0E82">
            <w:pPr>
              <w:spacing w:line="254" w:lineRule="auto"/>
              <w:jc w:val="center"/>
              <w:rPr>
                <w:b/>
                <w:lang w:eastAsia="en-US"/>
              </w:rPr>
            </w:pPr>
          </w:p>
          <w:p w:rsidR="003F0E82" w:rsidRPr="00870D7F" w:rsidRDefault="003F0E82">
            <w:pPr>
              <w:spacing w:line="254" w:lineRule="auto"/>
              <w:jc w:val="center"/>
              <w:rPr>
                <w:b/>
                <w:lang w:eastAsia="en-US"/>
              </w:rPr>
            </w:pPr>
          </w:p>
          <w:p w:rsidR="003F0E82" w:rsidRPr="00870D7F" w:rsidRDefault="003F0E82">
            <w:pPr>
              <w:spacing w:line="254" w:lineRule="auto"/>
              <w:jc w:val="center"/>
              <w:rPr>
                <w:b/>
                <w:lang w:eastAsia="en-US"/>
              </w:rPr>
            </w:pPr>
          </w:p>
          <w:p w:rsidR="003F0E82" w:rsidRPr="00870D7F" w:rsidRDefault="003F0E82">
            <w:pPr>
              <w:spacing w:line="254" w:lineRule="auto"/>
              <w:jc w:val="center"/>
              <w:rPr>
                <w:b/>
                <w:lang w:eastAsia="en-US"/>
              </w:rPr>
            </w:pPr>
          </w:p>
          <w:p w:rsidR="003F0E82" w:rsidRPr="00870D7F" w:rsidRDefault="003F0E82">
            <w:pPr>
              <w:spacing w:line="254" w:lineRule="auto"/>
              <w:jc w:val="center"/>
              <w:rPr>
                <w:b/>
                <w:lang w:eastAsia="en-US"/>
              </w:rPr>
            </w:pPr>
          </w:p>
          <w:p w:rsidR="003F0E82" w:rsidRPr="00870D7F" w:rsidRDefault="003F0E82">
            <w:pPr>
              <w:spacing w:line="254" w:lineRule="auto"/>
              <w:jc w:val="center"/>
              <w:rPr>
                <w:b/>
                <w:sz w:val="22"/>
                <w:szCs w:val="22"/>
                <w:lang w:eastAsia="en-US"/>
              </w:rPr>
            </w:pPr>
            <w:r w:rsidRPr="00870D7F">
              <w:rPr>
                <w:b/>
                <w:sz w:val="22"/>
                <w:szCs w:val="22"/>
                <w:lang w:eastAsia="en-US"/>
              </w:rPr>
              <w:t>A</w:t>
            </w:r>
          </w:p>
          <w:p w:rsidR="003F0E82" w:rsidRPr="00870D7F" w:rsidRDefault="003F0E82">
            <w:pPr>
              <w:spacing w:line="254" w:lineRule="auto"/>
              <w:jc w:val="center"/>
              <w:rPr>
                <w:b/>
                <w:lang w:eastAsia="en-US"/>
              </w:rPr>
            </w:pPr>
          </w:p>
          <w:p w:rsidR="003F0E82" w:rsidRPr="00870D7F" w:rsidRDefault="003F0E82">
            <w:pPr>
              <w:spacing w:line="254" w:lineRule="auto"/>
              <w:jc w:val="center"/>
              <w:rPr>
                <w:b/>
                <w:lang w:eastAsia="en-US"/>
              </w:rPr>
            </w:pPr>
          </w:p>
          <w:p w:rsidR="003F0E82" w:rsidRPr="00870D7F" w:rsidRDefault="003F0E82">
            <w:pPr>
              <w:spacing w:line="254" w:lineRule="auto"/>
              <w:jc w:val="center"/>
              <w:rPr>
                <w:b/>
                <w:lang w:eastAsia="en-US"/>
              </w:rPr>
            </w:pPr>
          </w:p>
          <w:p w:rsidR="003F0E82" w:rsidRPr="00870D7F" w:rsidRDefault="003F0E82">
            <w:pPr>
              <w:spacing w:line="254" w:lineRule="auto"/>
              <w:jc w:val="center"/>
              <w:rPr>
                <w:b/>
                <w:sz w:val="22"/>
                <w:szCs w:val="22"/>
                <w:lang w:eastAsia="en-US"/>
              </w:rPr>
            </w:pPr>
            <w:r w:rsidRPr="00870D7F">
              <w:rPr>
                <w:b/>
                <w:sz w:val="22"/>
                <w:szCs w:val="22"/>
                <w:lang w:eastAsia="en-US"/>
              </w:rPr>
              <w:t>A</w:t>
            </w:r>
          </w:p>
        </w:tc>
        <w:tc>
          <w:tcPr>
            <w:tcW w:w="1549" w:type="dxa"/>
            <w:tcBorders>
              <w:top w:val="single" w:sz="4" w:space="0" w:color="auto"/>
              <w:left w:val="single" w:sz="4" w:space="0" w:color="auto"/>
              <w:bottom w:val="single" w:sz="4" w:space="0" w:color="auto"/>
              <w:right w:val="single" w:sz="4" w:space="0" w:color="auto"/>
            </w:tcBorders>
          </w:tcPr>
          <w:p w:rsidR="003F0E82" w:rsidRPr="00870D7F" w:rsidRDefault="003F0E82">
            <w:pPr>
              <w:spacing w:line="254" w:lineRule="auto"/>
              <w:jc w:val="center"/>
              <w:rPr>
                <w:b/>
                <w:sz w:val="22"/>
                <w:szCs w:val="22"/>
                <w:lang w:eastAsia="en-US"/>
              </w:rPr>
            </w:pPr>
            <w:r w:rsidRPr="00870D7F">
              <w:rPr>
                <w:b/>
                <w:sz w:val="22"/>
                <w:szCs w:val="22"/>
                <w:lang w:eastAsia="en-US"/>
              </w:rPr>
              <w:t>ks_333308</w:t>
            </w:r>
          </w:p>
          <w:p w:rsidR="003F0E82" w:rsidRPr="00870D7F" w:rsidRDefault="003F0E82">
            <w:pPr>
              <w:spacing w:line="254" w:lineRule="auto"/>
              <w:jc w:val="center"/>
              <w:rPr>
                <w:b/>
                <w:lang w:eastAsia="en-US"/>
              </w:rPr>
            </w:pPr>
          </w:p>
          <w:p w:rsidR="003F0E82" w:rsidRPr="00870D7F" w:rsidRDefault="003F0E82">
            <w:pPr>
              <w:spacing w:line="254" w:lineRule="auto"/>
              <w:jc w:val="center"/>
              <w:rPr>
                <w:b/>
                <w:lang w:eastAsia="en-US"/>
              </w:rPr>
            </w:pPr>
          </w:p>
          <w:p w:rsidR="003F0E82" w:rsidRPr="00870D7F" w:rsidRDefault="003F0E82">
            <w:pPr>
              <w:spacing w:line="254" w:lineRule="auto"/>
              <w:jc w:val="center"/>
              <w:rPr>
                <w:b/>
                <w:lang w:eastAsia="en-US"/>
              </w:rPr>
            </w:pPr>
          </w:p>
          <w:p w:rsidR="003F0E82" w:rsidRPr="00870D7F" w:rsidRDefault="003F0E82">
            <w:pPr>
              <w:spacing w:line="254" w:lineRule="auto"/>
              <w:jc w:val="center"/>
              <w:rPr>
                <w:b/>
                <w:lang w:eastAsia="en-US"/>
              </w:rPr>
            </w:pPr>
          </w:p>
          <w:p w:rsidR="003F0E82" w:rsidRPr="00870D7F" w:rsidRDefault="003F0E82">
            <w:pPr>
              <w:spacing w:line="254" w:lineRule="auto"/>
              <w:jc w:val="center"/>
              <w:rPr>
                <w:b/>
                <w:lang w:eastAsia="en-US"/>
              </w:rPr>
            </w:pPr>
          </w:p>
          <w:p w:rsidR="003F0E82" w:rsidRPr="00870D7F" w:rsidRDefault="003F0E82">
            <w:pPr>
              <w:spacing w:line="254" w:lineRule="auto"/>
              <w:jc w:val="center"/>
              <w:rPr>
                <w:b/>
                <w:lang w:eastAsia="en-US"/>
              </w:rPr>
            </w:pPr>
          </w:p>
          <w:p w:rsidR="003F0E82" w:rsidRPr="00870D7F" w:rsidRDefault="003F0E82">
            <w:pPr>
              <w:spacing w:line="254" w:lineRule="auto"/>
              <w:jc w:val="center"/>
              <w:rPr>
                <w:b/>
                <w:sz w:val="22"/>
                <w:szCs w:val="22"/>
                <w:lang w:eastAsia="en-US"/>
              </w:rPr>
            </w:pPr>
            <w:r w:rsidRPr="00870D7F">
              <w:rPr>
                <w:b/>
                <w:sz w:val="22"/>
                <w:szCs w:val="22"/>
                <w:lang w:eastAsia="en-US"/>
              </w:rPr>
              <w:t>ks_333307</w:t>
            </w:r>
          </w:p>
          <w:p w:rsidR="003F0E82" w:rsidRPr="00870D7F" w:rsidRDefault="003F0E82">
            <w:pPr>
              <w:spacing w:line="254" w:lineRule="auto"/>
              <w:jc w:val="center"/>
              <w:rPr>
                <w:b/>
                <w:lang w:eastAsia="en-US"/>
              </w:rPr>
            </w:pPr>
          </w:p>
          <w:p w:rsidR="003F0E82" w:rsidRPr="00870D7F" w:rsidRDefault="003F0E82">
            <w:pPr>
              <w:spacing w:line="254" w:lineRule="auto"/>
              <w:jc w:val="center"/>
              <w:rPr>
                <w:b/>
                <w:lang w:eastAsia="en-US"/>
              </w:rPr>
            </w:pPr>
          </w:p>
          <w:p w:rsidR="003F0E82" w:rsidRPr="00870D7F" w:rsidRDefault="003F0E82">
            <w:pPr>
              <w:spacing w:line="254" w:lineRule="auto"/>
              <w:jc w:val="center"/>
              <w:rPr>
                <w:b/>
                <w:lang w:eastAsia="en-US"/>
              </w:rPr>
            </w:pPr>
          </w:p>
          <w:p w:rsidR="003F0E82" w:rsidRPr="00870D7F" w:rsidRDefault="003F0E82">
            <w:pPr>
              <w:spacing w:line="254" w:lineRule="auto"/>
              <w:jc w:val="center"/>
              <w:rPr>
                <w:b/>
                <w:sz w:val="22"/>
                <w:szCs w:val="22"/>
                <w:lang w:eastAsia="en-US"/>
              </w:rPr>
            </w:pPr>
            <w:r w:rsidRPr="00870D7F">
              <w:rPr>
                <w:b/>
                <w:sz w:val="22"/>
                <w:szCs w:val="22"/>
                <w:lang w:eastAsia="en-US"/>
              </w:rPr>
              <w:t>ks_333306</w:t>
            </w:r>
          </w:p>
          <w:p w:rsidR="003F0E82" w:rsidRPr="00870D7F" w:rsidRDefault="003F0E82">
            <w:pPr>
              <w:spacing w:line="254" w:lineRule="auto"/>
              <w:rPr>
                <w:b/>
                <w:sz w:val="22"/>
                <w:szCs w:val="22"/>
                <w:lang w:eastAsia="en-US"/>
              </w:rPr>
            </w:pPr>
          </w:p>
        </w:tc>
        <w:tc>
          <w:tcPr>
            <w:tcW w:w="1591" w:type="dxa"/>
            <w:gridSpan w:val="2"/>
            <w:tcBorders>
              <w:top w:val="single" w:sz="4" w:space="0" w:color="auto"/>
              <w:left w:val="single" w:sz="4" w:space="0" w:color="auto"/>
              <w:bottom w:val="single" w:sz="4" w:space="0" w:color="auto"/>
              <w:right w:val="single" w:sz="4" w:space="0" w:color="auto"/>
            </w:tcBorders>
          </w:tcPr>
          <w:p w:rsidR="003F0E82" w:rsidRPr="00870D7F" w:rsidRDefault="003F0E82">
            <w:pPr>
              <w:autoSpaceDE w:val="0"/>
              <w:autoSpaceDN w:val="0"/>
              <w:spacing w:line="254" w:lineRule="auto"/>
              <w:rPr>
                <w:lang w:eastAsia="en-US"/>
              </w:rPr>
            </w:pPr>
            <w:r w:rsidRPr="00870D7F">
              <w:rPr>
                <w:lang w:eastAsia="en-US"/>
              </w:rPr>
              <w:t>Komunikačný systém pre hlásenie a riešenie KB incidentov,</w:t>
            </w:r>
          </w:p>
          <w:p w:rsidR="003F0E82" w:rsidRPr="00870D7F" w:rsidRDefault="003F0E82">
            <w:pPr>
              <w:autoSpaceDE w:val="0"/>
              <w:autoSpaceDN w:val="0"/>
              <w:spacing w:line="254" w:lineRule="auto"/>
              <w:jc w:val="both"/>
              <w:rPr>
                <w:lang w:eastAsia="en-US"/>
              </w:rPr>
            </w:pPr>
          </w:p>
          <w:p w:rsidR="003F0E82" w:rsidRPr="00870D7F" w:rsidRDefault="003F0E82">
            <w:pPr>
              <w:autoSpaceDE w:val="0"/>
              <w:autoSpaceDN w:val="0"/>
              <w:spacing w:line="254" w:lineRule="auto"/>
              <w:jc w:val="both"/>
              <w:rPr>
                <w:lang w:eastAsia="en-US"/>
              </w:rPr>
            </w:pPr>
          </w:p>
          <w:p w:rsidR="003F0E82" w:rsidRPr="00870D7F" w:rsidRDefault="003F0E82">
            <w:pPr>
              <w:autoSpaceDE w:val="0"/>
              <w:autoSpaceDN w:val="0"/>
              <w:spacing w:line="254" w:lineRule="auto"/>
              <w:jc w:val="both"/>
              <w:rPr>
                <w:lang w:eastAsia="en-US"/>
              </w:rPr>
            </w:pPr>
          </w:p>
          <w:p w:rsidR="003F0E82" w:rsidRPr="00870D7F" w:rsidRDefault="003F0E82">
            <w:pPr>
              <w:autoSpaceDE w:val="0"/>
              <w:autoSpaceDN w:val="0"/>
              <w:spacing w:line="254" w:lineRule="auto"/>
              <w:jc w:val="both"/>
              <w:rPr>
                <w:lang w:eastAsia="en-US"/>
              </w:rPr>
            </w:pPr>
            <w:r w:rsidRPr="00870D7F">
              <w:rPr>
                <w:lang w:eastAsia="en-US"/>
              </w:rPr>
              <w:t>Centrálny systém včasného varovania,</w:t>
            </w:r>
          </w:p>
          <w:p w:rsidR="003F0E82" w:rsidRPr="00870D7F" w:rsidRDefault="003F0E82">
            <w:pPr>
              <w:autoSpaceDE w:val="0"/>
              <w:autoSpaceDN w:val="0"/>
              <w:spacing w:line="254" w:lineRule="auto"/>
              <w:jc w:val="both"/>
              <w:rPr>
                <w:lang w:eastAsia="en-US"/>
              </w:rPr>
            </w:pPr>
          </w:p>
          <w:p w:rsidR="003F0E82" w:rsidRPr="00870D7F" w:rsidRDefault="003F0E82">
            <w:pPr>
              <w:autoSpaceDE w:val="0"/>
              <w:autoSpaceDN w:val="0"/>
              <w:spacing w:line="254" w:lineRule="auto"/>
              <w:jc w:val="both"/>
              <w:rPr>
                <w:sz w:val="22"/>
                <w:szCs w:val="22"/>
                <w:lang w:eastAsia="en-US"/>
              </w:rPr>
            </w:pPr>
            <w:r w:rsidRPr="00870D7F">
              <w:rPr>
                <w:lang w:eastAsia="en-US"/>
              </w:rPr>
              <w:t>Zoznamy, registre, metodiky, usmernenia, štandardy a oznamy</w:t>
            </w:r>
            <w:r w:rsidRPr="00870D7F">
              <w:rPr>
                <w:sz w:val="22"/>
                <w:szCs w:val="22"/>
                <w:lang w:eastAsia="en-US"/>
              </w:rPr>
              <w:t xml:space="preserve"> </w:t>
            </w:r>
          </w:p>
        </w:tc>
        <w:tc>
          <w:tcPr>
            <w:tcW w:w="1571" w:type="dxa"/>
            <w:tcBorders>
              <w:top w:val="single" w:sz="4" w:space="0" w:color="auto"/>
              <w:left w:val="single" w:sz="4" w:space="0" w:color="auto"/>
              <w:bottom w:val="single" w:sz="4" w:space="0" w:color="auto"/>
              <w:right w:val="single" w:sz="4" w:space="0" w:color="auto"/>
            </w:tcBorders>
          </w:tcPr>
          <w:p w:rsidR="003F0E82" w:rsidRPr="00870D7F" w:rsidRDefault="003F0E82">
            <w:pPr>
              <w:spacing w:line="254" w:lineRule="auto"/>
              <w:jc w:val="center"/>
              <w:rPr>
                <w:b/>
                <w:sz w:val="22"/>
                <w:szCs w:val="22"/>
                <w:lang w:eastAsia="en-US"/>
              </w:rPr>
            </w:pPr>
            <w:r w:rsidRPr="00870D7F">
              <w:rPr>
                <w:b/>
                <w:sz w:val="22"/>
                <w:szCs w:val="22"/>
                <w:lang w:eastAsia="en-US"/>
              </w:rPr>
              <w:t>4</w:t>
            </w:r>
          </w:p>
          <w:p w:rsidR="003F0E82" w:rsidRPr="00870D7F" w:rsidRDefault="003F0E82">
            <w:pPr>
              <w:spacing w:line="254" w:lineRule="auto"/>
              <w:jc w:val="center"/>
              <w:rPr>
                <w:b/>
                <w:lang w:eastAsia="en-US"/>
              </w:rPr>
            </w:pPr>
          </w:p>
          <w:p w:rsidR="003F0E82" w:rsidRPr="00870D7F" w:rsidRDefault="003F0E82">
            <w:pPr>
              <w:spacing w:line="254" w:lineRule="auto"/>
              <w:jc w:val="center"/>
              <w:rPr>
                <w:b/>
                <w:lang w:eastAsia="en-US"/>
              </w:rPr>
            </w:pPr>
          </w:p>
          <w:p w:rsidR="003F0E82" w:rsidRPr="00870D7F" w:rsidRDefault="003F0E82">
            <w:pPr>
              <w:spacing w:line="254" w:lineRule="auto"/>
              <w:jc w:val="center"/>
              <w:rPr>
                <w:b/>
                <w:lang w:eastAsia="en-US"/>
              </w:rPr>
            </w:pPr>
          </w:p>
          <w:p w:rsidR="003F0E82" w:rsidRPr="00870D7F" w:rsidRDefault="003F0E82">
            <w:pPr>
              <w:spacing w:line="254" w:lineRule="auto"/>
              <w:jc w:val="center"/>
              <w:rPr>
                <w:b/>
                <w:lang w:eastAsia="en-US"/>
              </w:rPr>
            </w:pPr>
          </w:p>
          <w:p w:rsidR="003F0E82" w:rsidRPr="00870D7F" w:rsidRDefault="003F0E82">
            <w:pPr>
              <w:spacing w:line="254" w:lineRule="auto"/>
              <w:jc w:val="center"/>
              <w:rPr>
                <w:b/>
                <w:lang w:eastAsia="en-US"/>
              </w:rPr>
            </w:pPr>
          </w:p>
          <w:p w:rsidR="003F0E82" w:rsidRPr="00870D7F" w:rsidRDefault="003F0E82">
            <w:pPr>
              <w:spacing w:line="254" w:lineRule="auto"/>
              <w:jc w:val="center"/>
              <w:rPr>
                <w:b/>
                <w:lang w:eastAsia="en-US"/>
              </w:rPr>
            </w:pPr>
          </w:p>
          <w:p w:rsidR="003F0E82" w:rsidRPr="00870D7F" w:rsidRDefault="003F0E82">
            <w:pPr>
              <w:spacing w:line="254" w:lineRule="auto"/>
              <w:jc w:val="center"/>
              <w:rPr>
                <w:b/>
                <w:sz w:val="22"/>
                <w:szCs w:val="22"/>
                <w:lang w:eastAsia="en-US"/>
              </w:rPr>
            </w:pPr>
            <w:r w:rsidRPr="00870D7F">
              <w:rPr>
                <w:b/>
                <w:sz w:val="22"/>
                <w:szCs w:val="22"/>
                <w:lang w:eastAsia="en-US"/>
              </w:rPr>
              <w:t>4</w:t>
            </w:r>
          </w:p>
          <w:p w:rsidR="003F0E82" w:rsidRPr="00870D7F" w:rsidRDefault="003F0E82">
            <w:pPr>
              <w:spacing w:line="254" w:lineRule="auto"/>
              <w:jc w:val="center"/>
              <w:rPr>
                <w:b/>
                <w:lang w:eastAsia="en-US"/>
              </w:rPr>
            </w:pPr>
          </w:p>
          <w:p w:rsidR="003F0E82" w:rsidRPr="00870D7F" w:rsidRDefault="003F0E82">
            <w:pPr>
              <w:spacing w:line="254" w:lineRule="auto"/>
              <w:jc w:val="center"/>
              <w:rPr>
                <w:b/>
                <w:lang w:eastAsia="en-US"/>
              </w:rPr>
            </w:pPr>
          </w:p>
          <w:p w:rsidR="003F0E82" w:rsidRPr="00870D7F" w:rsidRDefault="003F0E82">
            <w:pPr>
              <w:spacing w:line="254" w:lineRule="auto"/>
              <w:jc w:val="center"/>
              <w:rPr>
                <w:b/>
                <w:lang w:eastAsia="en-US"/>
              </w:rPr>
            </w:pPr>
          </w:p>
          <w:p w:rsidR="003F0E82" w:rsidRPr="00870D7F" w:rsidRDefault="003F0E82">
            <w:pPr>
              <w:spacing w:line="254" w:lineRule="auto"/>
              <w:jc w:val="center"/>
              <w:rPr>
                <w:b/>
                <w:sz w:val="22"/>
                <w:szCs w:val="22"/>
                <w:lang w:eastAsia="en-US"/>
              </w:rPr>
            </w:pPr>
            <w:r w:rsidRPr="00870D7F">
              <w:rPr>
                <w:b/>
                <w:sz w:val="22"/>
                <w:szCs w:val="22"/>
                <w:lang w:eastAsia="en-US"/>
              </w:rPr>
              <w:t>4</w:t>
            </w:r>
          </w:p>
          <w:p w:rsidR="003F0E82" w:rsidRPr="00870D7F" w:rsidRDefault="003F0E82">
            <w:pPr>
              <w:spacing w:line="254" w:lineRule="auto"/>
              <w:jc w:val="center"/>
              <w:rPr>
                <w:b/>
                <w:sz w:val="22"/>
                <w:szCs w:val="22"/>
                <w:lang w:eastAsia="en-US"/>
              </w:rPr>
            </w:pPr>
          </w:p>
        </w:tc>
      </w:tr>
      <w:tr w:rsidR="003F0E82" w:rsidRPr="00870D7F" w:rsidTr="003F0E82">
        <w:trPr>
          <w:trHeight w:val="20"/>
        </w:trPr>
        <w:tc>
          <w:tcPr>
            <w:tcW w:w="351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F0E82" w:rsidRPr="00870D7F" w:rsidRDefault="003F0E82">
            <w:pPr>
              <w:spacing w:line="254" w:lineRule="auto"/>
              <w:jc w:val="center"/>
              <w:rPr>
                <w:b/>
                <w:sz w:val="24"/>
                <w:szCs w:val="22"/>
                <w:lang w:eastAsia="en-US"/>
              </w:rPr>
            </w:pPr>
            <w:r w:rsidRPr="00870D7F">
              <w:rPr>
                <w:b/>
                <w:sz w:val="24"/>
                <w:szCs w:val="22"/>
                <w:lang w:eastAsia="en-US"/>
              </w:rPr>
              <w:t>Infraštruktúra</w:t>
            </w:r>
          </w:p>
        </w:tc>
        <w:tc>
          <w:tcPr>
            <w:tcW w:w="114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F0E82" w:rsidRPr="00870D7F" w:rsidRDefault="003F0E82">
            <w:pPr>
              <w:spacing w:line="254" w:lineRule="auto"/>
              <w:jc w:val="center"/>
              <w:rPr>
                <w:b/>
                <w:sz w:val="24"/>
                <w:szCs w:val="22"/>
                <w:lang w:eastAsia="en-US"/>
              </w:rPr>
            </w:pPr>
            <w:r w:rsidRPr="00870D7F">
              <w:rPr>
                <w:b/>
                <w:sz w:val="24"/>
                <w:szCs w:val="22"/>
                <w:lang w:eastAsia="en-US"/>
              </w:rPr>
              <w:t>A – nový systém</w:t>
            </w:r>
          </w:p>
          <w:p w:rsidR="003F0E82" w:rsidRPr="00870D7F" w:rsidRDefault="003F0E82">
            <w:pPr>
              <w:spacing w:line="254" w:lineRule="auto"/>
              <w:jc w:val="center"/>
              <w:rPr>
                <w:b/>
                <w:sz w:val="24"/>
                <w:szCs w:val="22"/>
                <w:lang w:eastAsia="en-US"/>
              </w:rPr>
            </w:pPr>
            <w:r w:rsidRPr="00870D7F">
              <w:rPr>
                <w:b/>
                <w:sz w:val="24"/>
                <w:szCs w:val="22"/>
                <w:lang w:eastAsia="en-US"/>
              </w:rPr>
              <w:t>B – zmena systému</w:t>
            </w:r>
          </w:p>
        </w:tc>
        <w:tc>
          <w:tcPr>
            <w:tcW w:w="154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F0E82" w:rsidRPr="00870D7F" w:rsidRDefault="003F0E82">
            <w:pPr>
              <w:spacing w:line="254" w:lineRule="auto"/>
              <w:jc w:val="center"/>
              <w:rPr>
                <w:b/>
                <w:sz w:val="24"/>
                <w:szCs w:val="22"/>
                <w:lang w:eastAsia="en-US"/>
              </w:rPr>
            </w:pPr>
            <w:r w:rsidRPr="00870D7F">
              <w:rPr>
                <w:b/>
                <w:sz w:val="24"/>
                <w:szCs w:val="22"/>
                <w:lang w:eastAsia="en-US"/>
              </w:rPr>
              <w:t>Kód systému</w:t>
            </w:r>
          </w:p>
        </w:tc>
        <w:tc>
          <w:tcPr>
            <w:tcW w:w="3162"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3F0E82" w:rsidRPr="00870D7F" w:rsidRDefault="003F0E82">
            <w:pPr>
              <w:spacing w:line="254" w:lineRule="auto"/>
              <w:jc w:val="center"/>
              <w:rPr>
                <w:b/>
                <w:sz w:val="24"/>
                <w:szCs w:val="24"/>
                <w:lang w:eastAsia="en-US"/>
              </w:rPr>
            </w:pPr>
            <w:r w:rsidRPr="00870D7F">
              <w:rPr>
                <w:b/>
                <w:sz w:val="24"/>
                <w:szCs w:val="22"/>
                <w:lang w:eastAsia="en-US"/>
              </w:rPr>
              <w:t>Názov systému</w:t>
            </w:r>
          </w:p>
        </w:tc>
      </w:tr>
      <w:tr w:rsidR="003F0E82" w:rsidRPr="00870D7F" w:rsidTr="003F0E82">
        <w:trPr>
          <w:trHeight w:val="20"/>
        </w:trPr>
        <w:tc>
          <w:tcPr>
            <w:tcW w:w="3516" w:type="dxa"/>
            <w:tcBorders>
              <w:top w:val="single" w:sz="4" w:space="0" w:color="auto"/>
              <w:left w:val="single" w:sz="4" w:space="0" w:color="auto"/>
              <w:bottom w:val="single" w:sz="4" w:space="0" w:color="auto"/>
              <w:right w:val="single" w:sz="4" w:space="0" w:color="auto"/>
            </w:tcBorders>
          </w:tcPr>
          <w:p w:rsidR="003F0E82" w:rsidRPr="00870D7F" w:rsidRDefault="003F0E82">
            <w:pPr>
              <w:spacing w:line="254" w:lineRule="auto"/>
              <w:jc w:val="both"/>
              <w:rPr>
                <w:lang w:eastAsia="en-US"/>
              </w:rPr>
            </w:pPr>
            <w:r w:rsidRPr="00870D7F">
              <w:rPr>
                <w:b/>
                <w:lang w:eastAsia="en-US"/>
              </w:rPr>
              <w:t>6.2.</w:t>
            </w:r>
            <w:r w:rsidRPr="00870D7F">
              <w:rPr>
                <w:lang w:eastAsia="en-US"/>
              </w:rPr>
              <w:t xml:space="preserve"> Predpokladá predložený návrh zmenu existujúceho alebo vytvorenie nového informačného systému verejnej správy?</w:t>
            </w:r>
          </w:p>
          <w:p w:rsidR="003F0E82" w:rsidRPr="00870D7F" w:rsidRDefault="003F0E82">
            <w:pPr>
              <w:spacing w:line="20" w:lineRule="atLeast"/>
              <w:jc w:val="both"/>
              <w:rPr>
                <w:i/>
                <w:iCs/>
                <w:lang w:eastAsia="en-US"/>
              </w:rPr>
            </w:pPr>
          </w:p>
          <w:p w:rsidR="003F0E82" w:rsidRPr="00870D7F" w:rsidRDefault="003F0E82">
            <w:pPr>
              <w:spacing w:line="20" w:lineRule="atLeast"/>
              <w:jc w:val="both"/>
              <w:rPr>
                <w:i/>
                <w:iCs/>
                <w:lang w:eastAsia="en-US"/>
              </w:rPr>
            </w:pPr>
          </w:p>
          <w:p w:rsidR="003F0E82" w:rsidRPr="00870D7F" w:rsidRDefault="003F0E82">
            <w:pPr>
              <w:spacing w:line="20" w:lineRule="atLeast"/>
              <w:jc w:val="both"/>
              <w:rPr>
                <w:sz w:val="24"/>
                <w:szCs w:val="24"/>
                <w:lang w:eastAsia="en-US"/>
              </w:rPr>
            </w:pPr>
            <w:r w:rsidRPr="00870D7F">
              <w:rPr>
                <w:i/>
                <w:iCs/>
                <w:lang w:eastAsia="en-US"/>
              </w:rPr>
              <w:t>(Ak áno, uveďte zmenu systému alebo vytvorenie nového systému, ďalej jeho kód a názov z centrálneho metainformačného systému verejnej správy.)</w:t>
            </w:r>
          </w:p>
        </w:tc>
        <w:tc>
          <w:tcPr>
            <w:tcW w:w="1148" w:type="dxa"/>
            <w:tcBorders>
              <w:top w:val="single" w:sz="4" w:space="0" w:color="auto"/>
              <w:left w:val="single" w:sz="4" w:space="0" w:color="auto"/>
              <w:bottom w:val="single" w:sz="4" w:space="0" w:color="auto"/>
              <w:right w:val="single" w:sz="4" w:space="0" w:color="auto"/>
            </w:tcBorders>
            <w:hideMark/>
          </w:tcPr>
          <w:p w:rsidR="003F0E82" w:rsidRPr="00870D7F" w:rsidRDefault="003F0E82">
            <w:pPr>
              <w:spacing w:line="254" w:lineRule="auto"/>
              <w:jc w:val="center"/>
              <w:rPr>
                <w:b/>
                <w:iCs/>
                <w:sz w:val="24"/>
                <w:szCs w:val="24"/>
                <w:lang w:eastAsia="en-US"/>
              </w:rPr>
            </w:pPr>
            <w:r w:rsidRPr="00870D7F">
              <w:rPr>
                <w:b/>
                <w:iCs/>
                <w:sz w:val="24"/>
                <w:szCs w:val="24"/>
                <w:lang w:eastAsia="en-US"/>
              </w:rPr>
              <w:t>A</w:t>
            </w:r>
          </w:p>
        </w:tc>
        <w:tc>
          <w:tcPr>
            <w:tcW w:w="1549" w:type="dxa"/>
            <w:tcBorders>
              <w:top w:val="single" w:sz="4" w:space="0" w:color="auto"/>
              <w:left w:val="single" w:sz="4" w:space="0" w:color="auto"/>
              <w:bottom w:val="single" w:sz="4" w:space="0" w:color="auto"/>
              <w:right w:val="single" w:sz="4" w:space="0" w:color="auto"/>
            </w:tcBorders>
            <w:hideMark/>
          </w:tcPr>
          <w:p w:rsidR="003F0E82" w:rsidRPr="00870D7F" w:rsidRDefault="003F0E82">
            <w:pPr>
              <w:spacing w:line="254" w:lineRule="auto"/>
              <w:jc w:val="center"/>
              <w:rPr>
                <w:b/>
                <w:iCs/>
                <w:sz w:val="24"/>
                <w:szCs w:val="24"/>
                <w:lang w:eastAsia="en-US"/>
              </w:rPr>
            </w:pPr>
            <w:r w:rsidRPr="00870D7F">
              <w:rPr>
                <w:b/>
                <w:iCs/>
                <w:sz w:val="24"/>
                <w:szCs w:val="24"/>
                <w:lang w:eastAsia="en-US"/>
              </w:rPr>
              <w:t>isvs_8139</w:t>
            </w:r>
          </w:p>
        </w:tc>
        <w:tc>
          <w:tcPr>
            <w:tcW w:w="3162" w:type="dxa"/>
            <w:gridSpan w:val="3"/>
            <w:tcBorders>
              <w:top w:val="single" w:sz="4" w:space="0" w:color="auto"/>
              <w:left w:val="single" w:sz="4" w:space="0" w:color="auto"/>
              <w:bottom w:val="single" w:sz="4" w:space="0" w:color="auto"/>
              <w:right w:val="single" w:sz="4" w:space="0" w:color="auto"/>
            </w:tcBorders>
            <w:hideMark/>
          </w:tcPr>
          <w:p w:rsidR="003F0E82" w:rsidRPr="00870D7F" w:rsidRDefault="003F0E82">
            <w:pPr>
              <w:spacing w:line="254" w:lineRule="auto"/>
              <w:rPr>
                <w:i/>
                <w:iCs/>
                <w:sz w:val="22"/>
                <w:szCs w:val="22"/>
                <w:lang w:eastAsia="en-US"/>
              </w:rPr>
            </w:pPr>
            <w:r w:rsidRPr="00870D7F">
              <w:rPr>
                <w:sz w:val="22"/>
                <w:szCs w:val="22"/>
                <w:lang w:eastAsia="en-US"/>
              </w:rPr>
              <w:t>Jednotný informačný systém kybernetickej bezpečnosti</w:t>
            </w:r>
          </w:p>
        </w:tc>
      </w:tr>
      <w:tr w:rsidR="003F0E82" w:rsidRPr="00870D7F" w:rsidTr="003F0E82">
        <w:trPr>
          <w:trHeight w:val="20"/>
        </w:trPr>
        <w:tc>
          <w:tcPr>
            <w:tcW w:w="351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F0E82" w:rsidRPr="00870D7F" w:rsidRDefault="003F0E82">
            <w:pPr>
              <w:spacing w:line="20" w:lineRule="atLeast"/>
              <w:ind w:hanging="55"/>
              <w:jc w:val="center"/>
              <w:rPr>
                <w:b/>
                <w:sz w:val="24"/>
                <w:szCs w:val="22"/>
                <w:lang w:eastAsia="en-US"/>
              </w:rPr>
            </w:pPr>
            <w:r w:rsidRPr="00870D7F">
              <w:rPr>
                <w:b/>
                <w:sz w:val="24"/>
                <w:szCs w:val="22"/>
                <w:lang w:eastAsia="en-US"/>
              </w:rPr>
              <w:t>Financovanie procesu informatizácie</w:t>
            </w:r>
          </w:p>
        </w:tc>
        <w:tc>
          <w:tcPr>
            <w:tcW w:w="114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F0E82" w:rsidRPr="00870D7F" w:rsidRDefault="003F0E82">
            <w:pPr>
              <w:spacing w:line="254" w:lineRule="auto"/>
              <w:jc w:val="center"/>
              <w:rPr>
                <w:b/>
                <w:i/>
                <w:iCs/>
                <w:sz w:val="24"/>
                <w:szCs w:val="22"/>
                <w:lang w:eastAsia="en-US"/>
              </w:rPr>
            </w:pPr>
            <w:r w:rsidRPr="00870D7F">
              <w:rPr>
                <w:b/>
                <w:sz w:val="24"/>
                <w:szCs w:val="22"/>
                <w:lang w:eastAsia="en-US"/>
              </w:rPr>
              <w:t>Rezortná úroveň</w:t>
            </w:r>
          </w:p>
        </w:tc>
        <w:tc>
          <w:tcPr>
            <w:tcW w:w="222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3F0E82" w:rsidRPr="00870D7F" w:rsidRDefault="003F0E82">
            <w:pPr>
              <w:spacing w:line="254" w:lineRule="auto"/>
              <w:jc w:val="center"/>
              <w:rPr>
                <w:b/>
                <w:i/>
                <w:iCs/>
                <w:sz w:val="24"/>
                <w:szCs w:val="22"/>
                <w:lang w:eastAsia="en-US"/>
              </w:rPr>
            </w:pPr>
            <w:r w:rsidRPr="00870D7F">
              <w:rPr>
                <w:b/>
                <w:sz w:val="24"/>
                <w:szCs w:val="22"/>
                <w:lang w:eastAsia="en-US"/>
              </w:rPr>
              <w:t>Nadrezortná úroveň</w:t>
            </w:r>
          </w:p>
          <w:p w:rsidR="003F0E82" w:rsidRPr="00870D7F" w:rsidRDefault="003F0E82">
            <w:pPr>
              <w:spacing w:line="254" w:lineRule="auto"/>
              <w:jc w:val="center"/>
              <w:rPr>
                <w:b/>
                <w:sz w:val="24"/>
                <w:szCs w:val="22"/>
                <w:lang w:eastAsia="en-US"/>
              </w:rPr>
            </w:pPr>
          </w:p>
        </w:tc>
        <w:tc>
          <w:tcPr>
            <w:tcW w:w="248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3F0E82" w:rsidRPr="00870D7F" w:rsidRDefault="003F0E82">
            <w:pPr>
              <w:spacing w:line="254" w:lineRule="auto"/>
              <w:rPr>
                <w:b/>
                <w:sz w:val="24"/>
                <w:szCs w:val="22"/>
                <w:lang w:eastAsia="en-US"/>
              </w:rPr>
            </w:pPr>
            <w:r w:rsidRPr="00870D7F">
              <w:rPr>
                <w:b/>
                <w:sz w:val="24"/>
                <w:szCs w:val="22"/>
                <w:lang w:eastAsia="en-US"/>
              </w:rPr>
              <w:t>A - z prostriedkov EÚ   B - z ďalších zdrojov financovania</w:t>
            </w:r>
          </w:p>
        </w:tc>
      </w:tr>
      <w:tr w:rsidR="003F0E82" w:rsidRPr="00870D7F" w:rsidTr="003F0E82">
        <w:trPr>
          <w:trHeight w:val="20"/>
        </w:trPr>
        <w:tc>
          <w:tcPr>
            <w:tcW w:w="3516" w:type="dxa"/>
            <w:tcBorders>
              <w:top w:val="single" w:sz="4" w:space="0" w:color="auto"/>
              <w:left w:val="single" w:sz="4" w:space="0" w:color="auto"/>
              <w:bottom w:val="single" w:sz="4" w:space="0" w:color="auto"/>
              <w:right w:val="single" w:sz="4" w:space="0" w:color="auto"/>
            </w:tcBorders>
          </w:tcPr>
          <w:p w:rsidR="003F0E82" w:rsidRPr="00870D7F" w:rsidRDefault="003F0E82">
            <w:pPr>
              <w:spacing w:line="254" w:lineRule="auto"/>
              <w:jc w:val="both"/>
              <w:rPr>
                <w:szCs w:val="22"/>
                <w:lang w:eastAsia="en-US"/>
              </w:rPr>
            </w:pPr>
            <w:r w:rsidRPr="00870D7F">
              <w:rPr>
                <w:b/>
                <w:szCs w:val="22"/>
                <w:lang w:eastAsia="en-US"/>
              </w:rPr>
              <w:t>6.3.</w:t>
            </w:r>
            <w:r w:rsidRPr="00870D7F">
              <w:rPr>
                <w:szCs w:val="22"/>
                <w:lang w:eastAsia="en-US"/>
              </w:rPr>
              <w:t xml:space="preserve"> Vyžaduje si proces informatizácie  finančné investície?</w:t>
            </w:r>
          </w:p>
          <w:p w:rsidR="003F0E82" w:rsidRPr="00870D7F" w:rsidRDefault="003F0E82">
            <w:pPr>
              <w:spacing w:line="20" w:lineRule="atLeast"/>
              <w:jc w:val="both"/>
              <w:rPr>
                <w:i/>
                <w:iCs/>
                <w:szCs w:val="22"/>
                <w:lang w:eastAsia="en-US"/>
              </w:rPr>
            </w:pPr>
          </w:p>
          <w:p w:rsidR="003F0E82" w:rsidRPr="00870D7F" w:rsidRDefault="003F0E82">
            <w:pPr>
              <w:spacing w:line="20" w:lineRule="atLeast"/>
              <w:jc w:val="both"/>
              <w:rPr>
                <w:sz w:val="24"/>
                <w:szCs w:val="24"/>
                <w:lang w:eastAsia="en-US"/>
              </w:rPr>
            </w:pPr>
            <w:r w:rsidRPr="00870D7F">
              <w:rPr>
                <w:i/>
                <w:iCs/>
                <w:szCs w:val="22"/>
                <w:lang w:eastAsia="en-US"/>
              </w:rPr>
              <w:t>(Uveďte príslušnú úroveň financovania a kvantifikáciu finančných výdavkov uveďte  v analýze vplyvov na rozpočet verejnej správy.)</w:t>
            </w:r>
          </w:p>
        </w:tc>
        <w:tc>
          <w:tcPr>
            <w:tcW w:w="1148" w:type="dxa"/>
            <w:tcBorders>
              <w:top w:val="single" w:sz="4" w:space="0" w:color="auto"/>
              <w:left w:val="single" w:sz="4" w:space="0" w:color="auto"/>
              <w:bottom w:val="single" w:sz="4" w:space="0" w:color="auto"/>
              <w:right w:val="single" w:sz="4" w:space="0" w:color="auto"/>
            </w:tcBorders>
          </w:tcPr>
          <w:p w:rsidR="003F0E82" w:rsidRPr="00870D7F" w:rsidRDefault="003F0E82">
            <w:pPr>
              <w:spacing w:line="254" w:lineRule="auto"/>
              <w:rPr>
                <w:i/>
                <w:iCs/>
                <w:sz w:val="24"/>
                <w:szCs w:val="24"/>
                <w:lang w:eastAsia="en-US"/>
              </w:rPr>
            </w:pPr>
          </w:p>
        </w:tc>
        <w:tc>
          <w:tcPr>
            <w:tcW w:w="2228" w:type="dxa"/>
            <w:gridSpan w:val="2"/>
            <w:tcBorders>
              <w:top w:val="single" w:sz="4" w:space="0" w:color="auto"/>
              <w:left w:val="single" w:sz="4" w:space="0" w:color="auto"/>
              <w:bottom w:val="single" w:sz="4" w:space="0" w:color="auto"/>
              <w:right w:val="single" w:sz="4" w:space="0" w:color="auto"/>
            </w:tcBorders>
            <w:hideMark/>
          </w:tcPr>
          <w:p w:rsidR="003F0E82" w:rsidRPr="00870D7F" w:rsidRDefault="003F0E82">
            <w:pPr>
              <w:spacing w:line="254" w:lineRule="auto"/>
              <w:jc w:val="center"/>
              <w:rPr>
                <w:b/>
                <w:iCs/>
                <w:sz w:val="24"/>
                <w:szCs w:val="24"/>
                <w:lang w:eastAsia="en-US"/>
              </w:rPr>
            </w:pPr>
            <w:r w:rsidRPr="00870D7F">
              <w:rPr>
                <w:b/>
                <w:iCs/>
                <w:sz w:val="24"/>
                <w:szCs w:val="24"/>
                <w:lang w:eastAsia="en-US"/>
              </w:rPr>
              <w:t>X</w:t>
            </w:r>
          </w:p>
        </w:tc>
        <w:tc>
          <w:tcPr>
            <w:tcW w:w="2483" w:type="dxa"/>
            <w:gridSpan w:val="2"/>
            <w:tcBorders>
              <w:top w:val="single" w:sz="4" w:space="0" w:color="auto"/>
              <w:left w:val="single" w:sz="4" w:space="0" w:color="auto"/>
              <w:bottom w:val="single" w:sz="4" w:space="0" w:color="auto"/>
              <w:right w:val="single" w:sz="4" w:space="0" w:color="auto"/>
            </w:tcBorders>
            <w:hideMark/>
          </w:tcPr>
          <w:p w:rsidR="003F0E82" w:rsidRPr="00870D7F" w:rsidRDefault="003F0E82">
            <w:pPr>
              <w:spacing w:line="254" w:lineRule="auto"/>
              <w:jc w:val="center"/>
              <w:rPr>
                <w:b/>
                <w:iCs/>
                <w:sz w:val="24"/>
                <w:szCs w:val="24"/>
                <w:lang w:eastAsia="en-US"/>
              </w:rPr>
            </w:pPr>
            <w:r w:rsidRPr="00870D7F">
              <w:rPr>
                <w:b/>
                <w:iCs/>
                <w:sz w:val="24"/>
                <w:szCs w:val="24"/>
                <w:lang w:eastAsia="en-US"/>
              </w:rPr>
              <w:t>A</w:t>
            </w:r>
          </w:p>
          <w:p w:rsidR="003F0E82" w:rsidRPr="00870D7F" w:rsidRDefault="003F0E82">
            <w:pPr>
              <w:spacing w:line="254" w:lineRule="auto"/>
              <w:jc w:val="center"/>
              <w:rPr>
                <w:b/>
                <w:iCs/>
                <w:sz w:val="24"/>
                <w:szCs w:val="24"/>
                <w:lang w:eastAsia="en-US"/>
              </w:rPr>
            </w:pPr>
            <w:r w:rsidRPr="00870D7F">
              <w:rPr>
                <w:b/>
                <w:iCs/>
                <w:sz w:val="24"/>
                <w:szCs w:val="24"/>
                <w:lang w:eastAsia="en-US"/>
              </w:rPr>
              <w:t>B</w:t>
            </w:r>
          </w:p>
        </w:tc>
      </w:tr>
    </w:tbl>
    <w:p w:rsidR="003F0E82" w:rsidRPr="00870D7F" w:rsidRDefault="003F0E82" w:rsidP="003F0E82">
      <w:pPr>
        <w:rPr>
          <w:b/>
          <w:bCs/>
          <w:sz w:val="24"/>
          <w:szCs w:val="24"/>
        </w:rPr>
      </w:pPr>
    </w:p>
    <w:p w:rsidR="003F0E82" w:rsidRPr="00870D7F" w:rsidRDefault="003F0E82" w:rsidP="003F0E82">
      <w:pPr>
        <w:jc w:val="both"/>
        <w:rPr>
          <w:b/>
          <w:bCs/>
          <w:sz w:val="22"/>
          <w:szCs w:val="22"/>
        </w:rPr>
      </w:pPr>
      <w:r w:rsidRPr="00870D7F">
        <w:rPr>
          <w:b/>
          <w:bCs/>
          <w:sz w:val="22"/>
          <w:szCs w:val="22"/>
        </w:rPr>
        <w:t>Poznámka:</w:t>
      </w:r>
    </w:p>
    <w:p w:rsidR="003F0E82" w:rsidRPr="00870D7F" w:rsidRDefault="003F0E82" w:rsidP="003F0E82">
      <w:pPr>
        <w:spacing w:before="60" w:after="60"/>
        <w:jc w:val="both"/>
        <w:rPr>
          <w:bCs/>
        </w:rPr>
      </w:pPr>
      <w:r w:rsidRPr="00870D7F">
        <w:rPr>
          <w:bCs/>
        </w:rPr>
        <w:t>Služby podľa odseku 6.1 sú čiastkové služby Jednotného informačného systému kybernetickej bezpečnosti.</w:t>
      </w:r>
    </w:p>
    <w:tbl>
      <w:tblPr>
        <w:tblStyle w:val="Mriekatabuky"/>
        <w:tblW w:w="0" w:type="auto"/>
        <w:tblLook w:val="04A0" w:firstRow="1" w:lastRow="0" w:firstColumn="1" w:lastColumn="0" w:noHBand="0" w:noVBand="1"/>
      </w:tblPr>
      <w:tblGrid>
        <w:gridCol w:w="9062"/>
      </w:tblGrid>
      <w:tr w:rsidR="00252F43" w:rsidRPr="00870D7F" w:rsidTr="003F0E82">
        <w:trPr>
          <w:trHeight w:val="567"/>
        </w:trPr>
        <w:tc>
          <w:tcPr>
            <w:tcW w:w="9062" w:type="dxa"/>
            <w:shd w:val="clear" w:color="auto" w:fill="D9D9D9" w:themeFill="background1" w:themeFillShade="D9"/>
          </w:tcPr>
          <w:p w:rsidR="00252F43" w:rsidRPr="00870D7F" w:rsidRDefault="00252F43" w:rsidP="008A6C94">
            <w:pPr>
              <w:jc w:val="center"/>
              <w:rPr>
                <w:b/>
                <w:sz w:val="24"/>
              </w:rPr>
            </w:pPr>
            <w:r w:rsidRPr="00870D7F">
              <w:rPr>
                <w:b/>
                <w:sz w:val="28"/>
              </w:rPr>
              <w:lastRenderedPageBreak/>
              <w:t xml:space="preserve">Analýza vplyvov na podnikateľské prostredie </w:t>
            </w:r>
          </w:p>
          <w:p w:rsidR="00252F43" w:rsidRPr="00870D7F" w:rsidRDefault="00252F43" w:rsidP="008A6C94">
            <w:pPr>
              <w:jc w:val="center"/>
              <w:rPr>
                <w:b/>
              </w:rPr>
            </w:pPr>
            <w:r w:rsidRPr="00870D7F">
              <w:rPr>
                <w:b/>
                <w:sz w:val="24"/>
              </w:rPr>
              <w:t>(vrátane testu MSP)</w:t>
            </w:r>
          </w:p>
        </w:tc>
      </w:tr>
      <w:tr w:rsidR="00252F43" w:rsidRPr="00870D7F" w:rsidTr="003F0E82">
        <w:trPr>
          <w:trHeight w:val="567"/>
        </w:trPr>
        <w:tc>
          <w:tcPr>
            <w:tcW w:w="9062" w:type="dxa"/>
            <w:shd w:val="clear" w:color="auto" w:fill="D9D9D9" w:themeFill="background1" w:themeFillShade="D9"/>
          </w:tcPr>
          <w:p w:rsidR="00252F43" w:rsidRPr="00870D7F" w:rsidRDefault="00252F43" w:rsidP="008A6C94">
            <w:pPr>
              <w:rPr>
                <w:b/>
                <w:sz w:val="24"/>
              </w:rPr>
            </w:pPr>
            <w:r w:rsidRPr="00870D7F">
              <w:rPr>
                <w:b/>
                <w:sz w:val="24"/>
              </w:rPr>
              <w:t>Materiál bude mať vplyv s ohľadom na veľkostnú kategóriu podnikov:</w:t>
            </w:r>
          </w:p>
        </w:tc>
      </w:tr>
      <w:tr w:rsidR="00252F43" w:rsidRPr="00870D7F" w:rsidTr="003F0E82">
        <w:trPr>
          <w:trHeight w:val="567"/>
        </w:trPr>
        <w:tc>
          <w:tcPr>
            <w:tcW w:w="906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8411"/>
            </w:tblGrid>
            <w:tr w:rsidR="00252F43" w:rsidRPr="00870D7F" w:rsidTr="008A6C94">
              <w:sdt>
                <w:sdtPr>
                  <w:id w:val="43339831"/>
                </w:sdtPr>
                <w:sdtContent>
                  <w:tc>
                    <w:tcPr>
                      <w:tcW w:w="436" w:type="dxa"/>
                    </w:tcPr>
                    <w:p w:rsidR="00252F43" w:rsidRPr="00870D7F" w:rsidRDefault="00252F43" w:rsidP="008A6C94">
                      <w:pPr>
                        <w:jc w:val="center"/>
                      </w:pPr>
                      <w:r w:rsidRPr="00870D7F">
                        <w:rPr>
                          <w:rFonts w:ascii="Segoe UI Symbol" w:eastAsia="MS Mincho" w:hAnsi="Segoe UI Symbol" w:cs="Segoe UI Symbol"/>
                        </w:rPr>
                        <w:t>☐</w:t>
                      </w:r>
                    </w:p>
                  </w:tc>
                </w:sdtContent>
              </w:sdt>
              <w:tc>
                <w:tcPr>
                  <w:tcW w:w="8545" w:type="dxa"/>
                </w:tcPr>
                <w:p w:rsidR="00252F43" w:rsidRPr="00870D7F" w:rsidRDefault="00252F43" w:rsidP="008A6C94">
                  <w:pPr>
                    <w:rPr>
                      <w:b/>
                    </w:rPr>
                  </w:pPr>
                  <w:r w:rsidRPr="00870D7F">
                    <w:rPr>
                      <w:b/>
                    </w:rPr>
                    <w:t xml:space="preserve">iba na MSP (0 - 249 zamestnancov) </w:t>
                  </w:r>
                </w:p>
              </w:tc>
            </w:tr>
            <w:tr w:rsidR="00252F43" w:rsidRPr="00870D7F" w:rsidTr="008A6C94">
              <w:sdt>
                <w:sdtPr>
                  <w:id w:val="-79453833"/>
                </w:sdtPr>
                <w:sdtContent>
                  <w:tc>
                    <w:tcPr>
                      <w:tcW w:w="436" w:type="dxa"/>
                    </w:tcPr>
                    <w:p w:rsidR="00252F43" w:rsidRPr="00870D7F" w:rsidRDefault="00252F43" w:rsidP="008A6C94">
                      <w:pPr>
                        <w:jc w:val="center"/>
                      </w:pPr>
                      <w:r w:rsidRPr="00870D7F">
                        <w:rPr>
                          <w:rFonts w:ascii="Segoe UI Symbol" w:eastAsia="MS Mincho" w:hAnsi="Segoe UI Symbol" w:cs="Segoe UI Symbol"/>
                        </w:rPr>
                        <w:t>☐</w:t>
                      </w:r>
                    </w:p>
                  </w:tc>
                </w:sdtContent>
              </w:sdt>
              <w:tc>
                <w:tcPr>
                  <w:tcW w:w="8545" w:type="dxa"/>
                </w:tcPr>
                <w:p w:rsidR="00252F43" w:rsidRPr="00870D7F" w:rsidRDefault="00252F43" w:rsidP="008A6C94">
                  <w:pPr>
                    <w:rPr>
                      <w:b/>
                    </w:rPr>
                  </w:pPr>
                  <w:r w:rsidRPr="00870D7F">
                    <w:rPr>
                      <w:b/>
                    </w:rPr>
                    <w:t>iba na veľké podniky (250 a viac zamestnancov)</w:t>
                  </w:r>
                </w:p>
              </w:tc>
            </w:tr>
            <w:tr w:rsidR="00252F43" w:rsidRPr="00870D7F" w:rsidTr="008A6C94">
              <w:tc>
                <w:tcPr>
                  <w:tcW w:w="436" w:type="dxa"/>
                </w:tcPr>
                <w:p w:rsidR="00252F43" w:rsidRPr="00870D7F" w:rsidRDefault="00252F43" w:rsidP="008A6C94">
                  <w:pPr>
                    <w:jc w:val="center"/>
                  </w:pPr>
                  <w:r w:rsidRPr="00870D7F">
                    <w:rPr>
                      <w:rFonts w:ascii="Segoe UI Symbol" w:eastAsia="MS Gothic" w:hAnsi="Segoe UI Symbol" w:cs="Segoe UI Symbol"/>
                    </w:rPr>
                    <w:t>☒</w:t>
                  </w:r>
                </w:p>
              </w:tc>
              <w:tc>
                <w:tcPr>
                  <w:tcW w:w="8545" w:type="dxa"/>
                </w:tcPr>
                <w:p w:rsidR="00252F43" w:rsidRPr="00870D7F" w:rsidRDefault="00252F43" w:rsidP="008A6C94">
                  <w:r w:rsidRPr="00870D7F">
                    <w:rPr>
                      <w:b/>
                    </w:rPr>
                    <w:t>na všetky kategórie podnikov</w:t>
                  </w:r>
                </w:p>
              </w:tc>
            </w:tr>
          </w:tbl>
          <w:p w:rsidR="00252F43" w:rsidRPr="00870D7F" w:rsidRDefault="00252F43" w:rsidP="008A6C94">
            <w:pPr>
              <w:rPr>
                <w:b/>
              </w:rPr>
            </w:pPr>
          </w:p>
        </w:tc>
      </w:tr>
      <w:tr w:rsidR="00252F43" w:rsidRPr="00870D7F" w:rsidTr="003F0E82">
        <w:tc>
          <w:tcPr>
            <w:tcW w:w="9062" w:type="dxa"/>
            <w:shd w:val="clear" w:color="auto" w:fill="D9D9D9" w:themeFill="background1" w:themeFillShade="D9"/>
          </w:tcPr>
          <w:p w:rsidR="00252F43" w:rsidRPr="00870D7F" w:rsidRDefault="00252F43" w:rsidP="008A6C94">
            <w:pPr>
              <w:rPr>
                <w:b/>
                <w:sz w:val="24"/>
              </w:rPr>
            </w:pPr>
            <w:r w:rsidRPr="00870D7F">
              <w:rPr>
                <w:b/>
                <w:sz w:val="24"/>
              </w:rPr>
              <w:t>3.1 Dotknuté podnikateľské subjekty</w:t>
            </w:r>
          </w:p>
          <w:p w:rsidR="00252F43" w:rsidRPr="00870D7F" w:rsidRDefault="00252F43" w:rsidP="008A6C94">
            <w:pPr>
              <w:ind w:left="284"/>
              <w:rPr>
                <w:b/>
              </w:rPr>
            </w:pPr>
            <w:r w:rsidRPr="00870D7F">
              <w:rPr>
                <w:sz w:val="24"/>
              </w:rPr>
              <w:t xml:space="preserve"> - </w:t>
            </w:r>
            <w:r w:rsidRPr="00870D7F">
              <w:rPr>
                <w:b/>
                <w:sz w:val="24"/>
              </w:rPr>
              <w:t>z toho MSP</w:t>
            </w:r>
          </w:p>
        </w:tc>
      </w:tr>
      <w:tr w:rsidR="00252F43" w:rsidRPr="00870D7F" w:rsidTr="003F0E82">
        <w:tc>
          <w:tcPr>
            <w:tcW w:w="9062" w:type="dxa"/>
            <w:tcBorders>
              <w:bottom w:val="single" w:sz="4" w:space="0" w:color="auto"/>
            </w:tcBorders>
          </w:tcPr>
          <w:p w:rsidR="00252F43" w:rsidRPr="00870D7F" w:rsidRDefault="00252F43" w:rsidP="008A6C94">
            <w:pPr>
              <w:rPr>
                <w:i/>
              </w:rPr>
            </w:pPr>
            <w:r w:rsidRPr="00870D7F">
              <w:rPr>
                <w:i/>
              </w:rPr>
              <w:t>Uveďte, aké podnikateľské subjekty budú predkladaným návrhom ovplyvnené.</w:t>
            </w:r>
          </w:p>
          <w:p w:rsidR="00252F43" w:rsidRPr="00870D7F" w:rsidRDefault="00252F43" w:rsidP="008A6C94">
            <w:pPr>
              <w:rPr>
                <w:i/>
              </w:rPr>
            </w:pPr>
            <w:r w:rsidRPr="00870D7F">
              <w:rPr>
                <w:i/>
              </w:rPr>
              <w:t>Aký je ich počet?</w:t>
            </w:r>
          </w:p>
        </w:tc>
      </w:tr>
      <w:tr w:rsidR="00252F43" w:rsidRPr="00870D7F" w:rsidTr="003F0E82">
        <w:trPr>
          <w:trHeight w:val="1440"/>
        </w:trPr>
        <w:tc>
          <w:tcPr>
            <w:tcW w:w="9062" w:type="dxa"/>
            <w:tcBorders>
              <w:bottom w:val="single" w:sz="4" w:space="0" w:color="auto"/>
            </w:tcBorders>
          </w:tcPr>
          <w:p w:rsidR="00252F43" w:rsidRPr="00870D7F" w:rsidRDefault="00252F43" w:rsidP="008A6C94">
            <w:pPr>
              <w:jc w:val="both"/>
              <w:rPr>
                <w:b/>
              </w:rPr>
            </w:pPr>
          </w:p>
          <w:p w:rsidR="00252F43" w:rsidRPr="00870D7F" w:rsidRDefault="00252F43" w:rsidP="008A6C94">
            <w:pPr>
              <w:jc w:val="both"/>
              <w:rPr>
                <w:b/>
              </w:rPr>
            </w:pPr>
            <w:r w:rsidRPr="00870D7F">
              <w:rPr>
                <w:b/>
              </w:rPr>
              <w:t>Regulácia sa vzťahuje na všetky podnikateľské subjekty, ktoré budú mať podľa navrhovanej úpravy postavenie a prevádzkovateľa základných služieb (ďalej len „PZS“) a poskytovateľa digitálnych služieb (ďalej len „PDS“)  a ktorí poskytujú svoje služby v určených regulovaných odvetviach hospodárstva</w:t>
            </w:r>
            <w:r w:rsidR="00BE77EA" w:rsidRPr="00870D7F">
              <w:rPr>
                <w:b/>
              </w:rPr>
              <w:t>. V</w:t>
            </w:r>
            <w:r w:rsidRPr="00870D7F">
              <w:rPr>
                <w:b/>
              </w:rPr>
              <w:t> záujme zaistenia k</w:t>
            </w:r>
            <w:r w:rsidR="00BE77EA" w:rsidRPr="00870D7F">
              <w:rPr>
                <w:b/>
              </w:rPr>
              <w:t>onzistentného prístupu v celej E</w:t>
            </w:r>
            <w:r w:rsidRPr="00870D7F">
              <w:rPr>
                <w:b/>
              </w:rPr>
              <w:t>urópskej únii vychádza vymedzenie PZS a PDS z kritérií určených smernicou Európskeho parlamentu a rady (EÚ) 2016/1148 zo 6. júla 2016 o opatreniach na zabezpečenie vysokej spoločnej úrovne bezpečnosti sietí a informačných systémov v Únii (ďalej len „smernica NIS“).</w:t>
            </w:r>
          </w:p>
          <w:p w:rsidR="00252F43" w:rsidRPr="00870D7F" w:rsidRDefault="00252F43" w:rsidP="008A6C94">
            <w:pPr>
              <w:rPr>
                <w:b/>
              </w:rPr>
            </w:pPr>
          </w:p>
          <w:p w:rsidR="00252F43" w:rsidRPr="00870D7F" w:rsidRDefault="00252F43" w:rsidP="00BE77EA">
            <w:pPr>
              <w:jc w:val="both"/>
              <w:rPr>
                <w:b/>
              </w:rPr>
            </w:pPr>
            <w:r w:rsidRPr="00870D7F">
              <w:rPr>
                <w:b/>
                <w:bCs/>
              </w:rPr>
              <w:t>Regulácia návrhom zákona určuje zabezpečovanie atribútov kybernetickej bezpečnosti u dotknutých subjektov vysokého významu a</w:t>
            </w:r>
            <w:r w:rsidRPr="00870D7F">
              <w:rPr>
                <w:b/>
              </w:rPr>
              <w:t xml:space="preserve"> týka cca 124</w:t>
            </w:r>
            <w:r w:rsidR="00BE77EA" w:rsidRPr="00870D7F">
              <w:rPr>
                <w:b/>
              </w:rPr>
              <w:t xml:space="preserve"> subjektov (</w:t>
            </w:r>
            <w:r w:rsidRPr="00870D7F">
              <w:rPr>
                <w:b/>
              </w:rPr>
              <w:t>PZS</w:t>
            </w:r>
            <w:r w:rsidR="00BE77EA" w:rsidRPr="00870D7F">
              <w:rPr>
                <w:b/>
              </w:rPr>
              <w:t xml:space="preserve">), z toho </w:t>
            </w:r>
            <w:r w:rsidRPr="00870D7F">
              <w:rPr>
                <w:b/>
              </w:rPr>
              <w:t>veľké podniky</w:t>
            </w:r>
            <w:r w:rsidR="00BE77EA" w:rsidRPr="00870D7F">
              <w:rPr>
                <w:b/>
              </w:rPr>
              <w:t xml:space="preserve"> v oblasti:</w:t>
            </w:r>
          </w:p>
          <w:p w:rsidR="00BE77EA" w:rsidRPr="00870D7F" w:rsidRDefault="00BE77EA" w:rsidP="00BE77EA">
            <w:pPr>
              <w:jc w:val="both"/>
              <w:rPr>
                <w:b/>
              </w:rPr>
            </w:pPr>
          </w:p>
          <w:p w:rsidR="00252F43" w:rsidRPr="00870D7F" w:rsidRDefault="00252F43" w:rsidP="008A6C94">
            <w:pPr>
              <w:rPr>
                <w:b/>
              </w:rPr>
            </w:pPr>
            <w:r w:rsidRPr="00870D7F">
              <w:rPr>
                <w:b/>
              </w:rPr>
              <w:t>Bankovníctvo</w:t>
            </w:r>
            <w:r w:rsidRPr="00870D7F">
              <w:rPr>
                <w:b/>
              </w:rPr>
              <w:tab/>
            </w:r>
            <w:r w:rsidRPr="00870D7F">
              <w:rPr>
                <w:b/>
              </w:rPr>
              <w:tab/>
            </w:r>
            <w:r w:rsidRPr="00870D7F">
              <w:rPr>
                <w:b/>
              </w:rPr>
              <w:tab/>
            </w:r>
            <w:r w:rsidRPr="00870D7F">
              <w:rPr>
                <w:b/>
              </w:rPr>
              <w:tab/>
              <w:t>27</w:t>
            </w:r>
          </w:p>
          <w:p w:rsidR="00252F43" w:rsidRPr="00870D7F" w:rsidRDefault="00252F43" w:rsidP="008A6C94">
            <w:pPr>
              <w:rPr>
                <w:b/>
              </w:rPr>
            </w:pPr>
            <w:r w:rsidRPr="00870D7F">
              <w:rPr>
                <w:b/>
              </w:rPr>
              <w:t>Dodávka a distribúcia pitnej vody            16</w:t>
            </w:r>
          </w:p>
          <w:p w:rsidR="00252F43" w:rsidRPr="00870D7F" w:rsidRDefault="00252F43" w:rsidP="008A6C94">
            <w:pPr>
              <w:rPr>
                <w:b/>
              </w:rPr>
            </w:pPr>
            <w:r w:rsidRPr="00870D7F">
              <w:rPr>
                <w:b/>
              </w:rPr>
              <w:t>Doprava</w:t>
            </w:r>
            <w:r w:rsidRPr="00870D7F">
              <w:rPr>
                <w:b/>
              </w:rPr>
              <w:tab/>
            </w:r>
            <w:r w:rsidRPr="00870D7F">
              <w:rPr>
                <w:b/>
              </w:rPr>
              <w:tab/>
            </w:r>
            <w:r w:rsidRPr="00870D7F">
              <w:rPr>
                <w:b/>
              </w:rPr>
              <w:tab/>
              <w:t xml:space="preserve">              21</w:t>
            </w:r>
          </w:p>
          <w:p w:rsidR="00252F43" w:rsidRPr="00870D7F" w:rsidRDefault="00252F43" w:rsidP="008A6C94">
            <w:pPr>
              <w:rPr>
                <w:b/>
              </w:rPr>
            </w:pPr>
            <w:r w:rsidRPr="00870D7F">
              <w:rPr>
                <w:b/>
              </w:rPr>
              <w:t>Digitálna infraštruktúra</w:t>
            </w:r>
            <w:r w:rsidRPr="00870D7F">
              <w:rPr>
                <w:b/>
              </w:rPr>
              <w:tab/>
            </w:r>
            <w:r w:rsidRPr="00870D7F">
              <w:rPr>
                <w:b/>
              </w:rPr>
              <w:tab/>
            </w:r>
            <w:r w:rsidRPr="00870D7F">
              <w:rPr>
                <w:b/>
              </w:rPr>
              <w:tab/>
              <w:t xml:space="preserve">  3</w:t>
            </w:r>
          </w:p>
          <w:p w:rsidR="00252F43" w:rsidRPr="00870D7F" w:rsidRDefault="00252F43" w:rsidP="008A6C94">
            <w:pPr>
              <w:rPr>
                <w:b/>
              </w:rPr>
            </w:pPr>
            <w:r w:rsidRPr="00870D7F">
              <w:rPr>
                <w:b/>
              </w:rPr>
              <w:t>Energetika</w:t>
            </w:r>
            <w:r w:rsidRPr="00870D7F">
              <w:rPr>
                <w:b/>
              </w:rPr>
              <w:tab/>
            </w:r>
            <w:r w:rsidRPr="00870D7F">
              <w:rPr>
                <w:b/>
              </w:rPr>
              <w:tab/>
            </w:r>
            <w:r w:rsidRPr="00870D7F">
              <w:rPr>
                <w:b/>
              </w:rPr>
              <w:tab/>
            </w:r>
            <w:r w:rsidRPr="00870D7F">
              <w:rPr>
                <w:b/>
              </w:rPr>
              <w:tab/>
              <w:t>12</w:t>
            </w:r>
          </w:p>
          <w:p w:rsidR="00252F43" w:rsidRPr="00870D7F" w:rsidRDefault="00252F43" w:rsidP="008A6C94">
            <w:pPr>
              <w:rPr>
                <w:b/>
              </w:rPr>
            </w:pPr>
            <w:r w:rsidRPr="00870D7F">
              <w:rPr>
                <w:b/>
              </w:rPr>
              <w:t>Chemicky priemysel</w:t>
            </w:r>
            <w:r w:rsidRPr="00870D7F">
              <w:rPr>
                <w:b/>
              </w:rPr>
              <w:tab/>
            </w:r>
            <w:r w:rsidRPr="00870D7F">
              <w:rPr>
                <w:b/>
              </w:rPr>
              <w:tab/>
            </w:r>
            <w:r w:rsidRPr="00870D7F">
              <w:rPr>
                <w:b/>
              </w:rPr>
              <w:tab/>
              <w:t>10</w:t>
            </w:r>
          </w:p>
          <w:p w:rsidR="00252F43" w:rsidRPr="00870D7F" w:rsidRDefault="00252F43" w:rsidP="008A6C94">
            <w:pPr>
              <w:rPr>
                <w:b/>
              </w:rPr>
            </w:pPr>
            <w:r w:rsidRPr="00870D7F">
              <w:rPr>
                <w:b/>
              </w:rPr>
              <w:t>Finančný sektor/financie</w:t>
            </w:r>
            <w:r w:rsidRPr="00870D7F">
              <w:rPr>
                <w:b/>
              </w:rPr>
              <w:tab/>
            </w:r>
            <w:r w:rsidRPr="00870D7F">
              <w:rPr>
                <w:b/>
              </w:rPr>
              <w:tab/>
              <w:t xml:space="preserve">                3</w:t>
            </w:r>
          </w:p>
          <w:p w:rsidR="00252F43" w:rsidRPr="00870D7F" w:rsidRDefault="00252F43" w:rsidP="008A6C94">
            <w:pPr>
              <w:rPr>
                <w:b/>
              </w:rPr>
            </w:pPr>
            <w:r w:rsidRPr="00870D7F">
              <w:rPr>
                <w:b/>
              </w:rPr>
              <w:t>Telekomunikačný sektor</w:t>
            </w:r>
            <w:r w:rsidRPr="00870D7F">
              <w:rPr>
                <w:b/>
              </w:rPr>
              <w:tab/>
            </w:r>
            <w:r w:rsidRPr="00870D7F">
              <w:rPr>
                <w:b/>
              </w:rPr>
              <w:tab/>
              <w:t xml:space="preserve">              12</w:t>
            </w:r>
          </w:p>
          <w:p w:rsidR="00252F43" w:rsidRPr="00870D7F" w:rsidRDefault="00252F43" w:rsidP="008A6C94">
            <w:pPr>
              <w:rPr>
                <w:b/>
              </w:rPr>
            </w:pPr>
            <w:r w:rsidRPr="00870D7F">
              <w:rPr>
                <w:b/>
              </w:rPr>
              <w:t>Zdravotníctvo</w:t>
            </w:r>
            <w:r w:rsidRPr="00870D7F">
              <w:rPr>
                <w:b/>
              </w:rPr>
              <w:tab/>
            </w:r>
            <w:r w:rsidRPr="00870D7F">
              <w:rPr>
                <w:b/>
              </w:rPr>
              <w:tab/>
            </w:r>
            <w:r w:rsidRPr="00870D7F">
              <w:rPr>
                <w:b/>
              </w:rPr>
              <w:tab/>
            </w:r>
            <w:r w:rsidRPr="00870D7F">
              <w:rPr>
                <w:b/>
              </w:rPr>
              <w:tab/>
              <w:t>20</w:t>
            </w:r>
          </w:p>
          <w:p w:rsidR="00252F43" w:rsidRPr="00870D7F" w:rsidRDefault="00252F43" w:rsidP="008A6C94">
            <w:pPr>
              <w:rPr>
                <w:b/>
              </w:rPr>
            </w:pPr>
          </w:p>
          <w:p w:rsidR="002800A2" w:rsidRPr="00870D7F" w:rsidRDefault="00252F43" w:rsidP="008A6C94">
            <w:pPr>
              <w:rPr>
                <w:b/>
              </w:rPr>
            </w:pPr>
            <w:r w:rsidRPr="00870D7F">
              <w:rPr>
                <w:b/>
              </w:rPr>
              <w:t xml:space="preserve">a cca 10 subjektov </w:t>
            </w:r>
            <w:r w:rsidR="00796956" w:rsidRPr="00870D7F">
              <w:rPr>
                <w:b/>
              </w:rPr>
              <w:t>ako PDS.</w:t>
            </w:r>
          </w:p>
          <w:p w:rsidR="00252F43" w:rsidRPr="00870D7F" w:rsidRDefault="00252F43" w:rsidP="008A6C94">
            <w:pPr>
              <w:jc w:val="both"/>
              <w:rPr>
                <w:b/>
              </w:rPr>
            </w:pPr>
          </w:p>
          <w:p w:rsidR="002E0128" w:rsidRPr="00870D7F" w:rsidRDefault="00252F43" w:rsidP="008A6C94">
            <w:pPr>
              <w:jc w:val="both"/>
              <w:rPr>
                <w:b/>
              </w:rPr>
            </w:pPr>
            <w:r w:rsidRPr="00870D7F">
              <w:rPr>
                <w:b/>
              </w:rPr>
              <w:t xml:space="preserve">V pozitívnom kontexte </w:t>
            </w:r>
            <w:r w:rsidR="00BE77EA" w:rsidRPr="00870D7F">
              <w:rPr>
                <w:b/>
              </w:rPr>
              <w:t xml:space="preserve">návrh </w:t>
            </w:r>
            <w:r w:rsidRPr="00870D7F">
              <w:rPr>
                <w:b/>
              </w:rPr>
              <w:t>zákona ovplyvn</w:t>
            </w:r>
            <w:r w:rsidR="00BE77EA" w:rsidRPr="00870D7F">
              <w:rPr>
                <w:b/>
              </w:rPr>
              <w:t>í aj malé a stredné podniky</w:t>
            </w:r>
            <w:r w:rsidR="002E0128" w:rsidRPr="00870D7F">
              <w:rPr>
                <w:b/>
              </w:rPr>
              <w:t xml:space="preserve">, vrátane občanov </w:t>
            </w:r>
            <w:r w:rsidRPr="00870D7F">
              <w:rPr>
                <w:b/>
              </w:rPr>
              <w:t>a</w:t>
            </w:r>
            <w:r w:rsidR="002E0128" w:rsidRPr="00870D7F">
              <w:rPr>
                <w:b/>
              </w:rPr>
              <w:t> </w:t>
            </w:r>
            <w:r w:rsidRPr="00870D7F">
              <w:rPr>
                <w:b/>
              </w:rPr>
              <w:t>to</w:t>
            </w:r>
            <w:r w:rsidR="002E0128" w:rsidRPr="00870D7F">
              <w:rPr>
                <w:b/>
              </w:rPr>
              <w:t xml:space="preserve"> celkovým</w:t>
            </w:r>
            <w:r w:rsidRPr="00870D7F">
              <w:rPr>
                <w:b/>
              </w:rPr>
              <w:t xml:space="preserve"> zvýšením bezpečnosti v kybernetickom priestore</w:t>
            </w:r>
            <w:r w:rsidR="00BE77EA" w:rsidRPr="00870D7F">
              <w:rPr>
                <w:b/>
              </w:rPr>
              <w:t xml:space="preserve">, čím sa </w:t>
            </w:r>
            <w:r w:rsidRPr="00870D7F">
              <w:rPr>
                <w:b/>
                <w:bCs/>
              </w:rPr>
              <w:t>zlepš</w:t>
            </w:r>
            <w:r w:rsidR="002E0128" w:rsidRPr="00870D7F">
              <w:rPr>
                <w:b/>
                <w:bCs/>
              </w:rPr>
              <w:t>í</w:t>
            </w:r>
            <w:r w:rsidRPr="00870D7F">
              <w:rPr>
                <w:b/>
                <w:bCs/>
              </w:rPr>
              <w:t xml:space="preserve"> podnikateľské</w:t>
            </w:r>
            <w:r w:rsidR="008A6C94" w:rsidRPr="00870D7F">
              <w:rPr>
                <w:b/>
                <w:bCs/>
              </w:rPr>
              <w:t xml:space="preserve"> prostredie a stane sa viac pútavým pre zákazníkov</w:t>
            </w:r>
            <w:r w:rsidR="002E0128" w:rsidRPr="00870D7F">
              <w:rPr>
                <w:b/>
                <w:bCs/>
              </w:rPr>
              <w:t>, bezpečnosť ponúkaných služieb a dôvera občanov voči podnikom</w:t>
            </w:r>
            <w:r w:rsidRPr="00870D7F">
              <w:rPr>
                <w:b/>
              </w:rPr>
              <w:t xml:space="preserve">. </w:t>
            </w:r>
          </w:p>
          <w:p w:rsidR="00252F43" w:rsidRPr="00870D7F" w:rsidRDefault="00252F43" w:rsidP="002800A2">
            <w:pPr>
              <w:jc w:val="both"/>
              <w:rPr>
                <w:i/>
              </w:rPr>
            </w:pPr>
          </w:p>
        </w:tc>
      </w:tr>
      <w:tr w:rsidR="00252F43" w:rsidRPr="00870D7F" w:rsidTr="003F0E82">
        <w:trPr>
          <w:trHeight w:val="339"/>
        </w:trPr>
        <w:tc>
          <w:tcPr>
            <w:tcW w:w="9062" w:type="dxa"/>
            <w:tcBorders>
              <w:bottom w:val="single" w:sz="4" w:space="0" w:color="auto"/>
            </w:tcBorders>
            <w:shd w:val="clear" w:color="auto" w:fill="D9D9D9" w:themeFill="background1" w:themeFillShade="D9"/>
          </w:tcPr>
          <w:p w:rsidR="00252F43" w:rsidRPr="00870D7F" w:rsidRDefault="00252F43" w:rsidP="008A6C94">
            <w:pPr>
              <w:rPr>
                <w:b/>
                <w:sz w:val="24"/>
              </w:rPr>
            </w:pPr>
            <w:r w:rsidRPr="00870D7F">
              <w:rPr>
                <w:b/>
                <w:sz w:val="24"/>
              </w:rPr>
              <w:t>3.2 Vyhodnotenie konzultácií</w:t>
            </w:r>
          </w:p>
          <w:p w:rsidR="00252F43" w:rsidRPr="00870D7F" w:rsidRDefault="00252F43" w:rsidP="008A6C94">
            <w:pPr>
              <w:rPr>
                <w:b/>
              </w:rPr>
            </w:pPr>
            <w:r w:rsidRPr="00870D7F">
              <w:rPr>
                <w:sz w:val="24"/>
              </w:rPr>
              <w:t xml:space="preserve">       - </w:t>
            </w:r>
            <w:r w:rsidRPr="00870D7F">
              <w:rPr>
                <w:b/>
                <w:sz w:val="24"/>
              </w:rPr>
              <w:t>z toho MSP</w:t>
            </w:r>
          </w:p>
        </w:tc>
      </w:tr>
      <w:tr w:rsidR="00252F43" w:rsidRPr="00870D7F" w:rsidTr="003F0E82">
        <w:trPr>
          <w:trHeight w:val="557"/>
        </w:trPr>
        <w:tc>
          <w:tcPr>
            <w:tcW w:w="9062" w:type="dxa"/>
            <w:tcBorders>
              <w:bottom w:val="single" w:sz="4" w:space="0" w:color="auto"/>
            </w:tcBorders>
          </w:tcPr>
          <w:p w:rsidR="00252F43" w:rsidRPr="00870D7F" w:rsidRDefault="00252F43" w:rsidP="008A6C94">
            <w:pPr>
              <w:rPr>
                <w:i/>
              </w:rPr>
            </w:pPr>
            <w:r w:rsidRPr="00870D7F">
              <w:rPr>
                <w:i/>
              </w:rPr>
              <w:t>Uveďte, akou formou (verejné alebo cielené konzultácie a prečo) a s kým bol návrh konzultovaný.</w:t>
            </w:r>
          </w:p>
          <w:p w:rsidR="00252F43" w:rsidRPr="00870D7F" w:rsidRDefault="00252F43" w:rsidP="008A6C94">
            <w:pPr>
              <w:rPr>
                <w:i/>
              </w:rPr>
            </w:pPr>
            <w:r w:rsidRPr="00870D7F">
              <w:rPr>
                <w:i/>
              </w:rPr>
              <w:t>Ako dlho trvali konzultácie?</w:t>
            </w:r>
          </w:p>
          <w:p w:rsidR="00252F43" w:rsidRPr="00870D7F" w:rsidRDefault="00252F43" w:rsidP="008A6C94">
            <w:pPr>
              <w:rPr>
                <w:i/>
              </w:rPr>
            </w:pPr>
            <w:r w:rsidRPr="00870D7F">
              <w:rPr>
                <w:i/>
              </w:rPr>
              <w:t xml:space="preserve">Uveďte hlavné body konzultácií a výsledky konzultácií. </w:t>
            </w:r>
          </w:p>
        </w:tc>
      </w:tr>
      <w:tr w:rsidR="00252F43" w:rsidRPr="00870D7F" w:rsidTr="003F0E82">
        <w:trPr>
          <w:trHeight w:val="1440"/>
        </w:trPr>
        <w:tc>
          <w:tcPr>
            <w:tcW w:w="9062" w:type="dxa"/>
            <w:tcBorders>
              <w:bottom w:val="single" w:sz="4" w:space="0" w:color="auto"/>
            </w:tcBorders>
          </w:tcPr>
          <w:p w:rsidR="00D60196" w:rsidRDefault="00D60196" w:rsidP="00D60196">
            <w:pPr>
              <w:pStyle w:val="Standard"/>
              <w:spacing w:after="0"/>
              <w:jc w:val="both"/>
              <w:rPr>
                <w:rFonts w:ascii="Times New Roman" w:hAnsi="Times New Roman" w:cs="Times New Roman"/>
                <w:b/>
                <w:color w:val="000000"/>
                <w:sz w:val="20"/>
                <w:szCs w:val="20"/>
              </w:rPr>
            </w:pPr>
          </w:p>
          <w:p w:rsidR="00252F43" w:rsidRPr="00870D7F" w:rsidRDefault="00252F43" w:rsidP="00D60196">
            <w:pPr>
              <w:pStyle w:val="Standard"/>
              <w:spacing w:after="0"/>
              <w:jc w:val="both"/>
              <w:rPr>
                <w:rFonts w:ascii="Times New Roman" w:hAnsi="Times New Roman" w:cs="Times New Roman"/>
                <w:b/>
                <w:sz w:val="20"/>
                <w:szCs w:val="20"/>
              </w:rPr>
            </w:pPr>
            <w:r w:rsidRPr="00870D7F">
              <w:rPr>
                <w:rFonts w:ascii="Times New Roman" w:hAnsi="Times New Roman" w:cs="Times New Roman"/>
                <w:b/>
                <w:color w:val="000000"/>
                <w:sz w:val="20"/>
                <w:szCs w:val="20"/>
              </w:rPr>
              <w:t>Nadväzne na Jednotnú metodiku na posudzovanie vplyvov,  Národný bezpečnostný úrad realizoval konzultácie k pripravovanému zákonu o kybernetickej bezpečnosti s podnikateľmi a odbornou verejnosťou.</w:t>
            </w:r>
          </w:p>
          <w:p w:rsidR="00252F43" w:rsidRPr="00870D7F" w:rsidRDefault="00252F43" w:rsidP="00D60196">
            <w:pPr>
              <w:jc w:val="both"/>
              <w:rPr>
                <w:b/>
              </w:rPr>
            </w:pPr>
            <w:r w:rsidRPr="00870D7F">
              <w:rPr>
                <w:b/>
              </w:rPr>
              <w:t>Podnikateľom a odbornej verejnosti bolo umožnené zapojiť sa do procesu  prípravy návrhu zákona formou účasti v pracovných skupinách zriadených Komisiou pre kybernetickú bezpečnosť, seminárov organizovaných úradom a záujmovými združeniami pôsobiacimi v tejto oblasti alebo zasielaním podnetov či návrhov vecného zamerania na adresu:</w:t>
            </w:r>
          </w:p>
          <w:p w:rsidR="00252F43" w:rsidRPr="00870D7F" w:rsidRDefault="00252F43" w:rsidP="00D60196">
            <w:pPr>
              <w:rPr>
                <w:b/>
              </w:rPr>
            </w:pPr>
          </w:p>
          <w:p w:rsidR="00252F43" w:rsidRPr="00870D7F" w:rsidRDefault="00252F43" w:rsidP="00D60196">
            <w:pPr>
              <w:rPr>
                <w:b/>
              </w:rPr>
            </w:pPr>
            <w:r w:rsidRPr="00870D7F">
              <w:rPr>
                <w:b/>
              </w:rPr>
              <w:t xml:space="preserve">Národný bezpečnostný úrad, Budatínska 30, 850 07 Bratislava, email: </w:t>
            </w:r>
            <w:hyperlink r:id="rId9" w:history="1">
              <w:r w:rsidRPr="00870D7F">
                <w:rPr>
                  <w:rStyle w:val="Hypertextovprepojenie"/>
                </w:rPr>
                <w:t>podatelna@nbusr.sk</w:t>
              </w:r>
            </w:hyperlink>
          </w:p>
          <w:p w:rsidR="00252F43" w:rsidRPr="00870D7F" w:rsidRDefault="00252F43" w:rsidP="00D60196">
            <w:pPr>
              <w:rPr>
                <w:b/>
              </w:rPr>
            </w:pPr>
          </w:p>
          <w:p w:rsidR="00D60196" w:rsidRDefault="00D60196" w:rsidP="00D60196">
            <w:pPr>
              <w:pStyle w:val="Normlnywebov"/>
              <w:spacing w:before="0" w:beforeAutospacing="0" w:after="0" w:afterAutospacing="0"/>
              <w:jc w:val="both"/>
              <w:rPr>
                <w:b/>
                <w:sz w:val="20"/>
                <w:szCs w:val="20"/>
              </w:rPr>
            </w:pPr>
          </w:p>
          <w:p w:rsidR="00D60196" w:rsidRDefault="00D60196" w:rsidP="00D60196">
            <w:pPr>
              <w:pStyle w:val="Normlnywebov"/>
              <w:spacing w:before="0" w:beforeAutospacing="0" w:after="0" w:afterAutospacing="0"/>
              <w:jc w:val="both"/>
              <w:rPr>
                <w:b/>
                <w:sz w:val="20"/>
                <w:szCs w:val="20"/>
              </w:rPr>
            </w:pPr>
          </w:p>
          <w:p w:rsidR="00D60196" w:rsidRDefault="00D60196" w:rsidP="00D60196">
            <w:pPr>
              <w:pStyle w:val="Normlnywebov"/>
              <w:spacing w:before="0" w:beforeAutospacing="0" w:after="0" w:afterAutospacing="0"/>
              <w:jc w:val="both"/>
              <w:rPr>
                <w:b/>
                <w:sz w:val="20"/>
                <w:szCs w:val="20"/>
              </w:rPr>
            </w:pPr>
          </w:p>
          <w:p w:rsidR="00D60196" w:rsidRDefault="00D60196" w:rsidP="00D60196">
            <w:pPr>
              <w:pStyle w:val="Normlnywebov"/>
              <w:spacing w:before="0" w:beforeAutospacing="0" w:after="0" w:afterAutospacing="0"/>
              <w:jc w:val="both"/>
              <w:rPr>
                <w:b/>
                <w:sz w:val="20"/>
                <w:szCs w:val="20"/>
              </w:rPr>
            </w:pPr>
          </w:p>
          <w:p w:rsidR="00252F43" w:rsidRPr="00870D7F" w:rsidRDefault="00252F43" w:rsidP="00D60196">
            <w:pPr>
              <w:pStyle w:val="Normlnywebov"/>
              <w:spacing w:before="0" w:beforeAutospacing="0" w:after="0" w:afterAutospacing="0"/>
              <w:jc w:val="both"/>
              <w:rPr>
                <w:b/>
                <w:sz w:val="20"/>
                <w:szCs w:val="20"/>
              </w:rPr>
            </w:pPr>
            <w:r w:rsidRPr="00870D7F">
              <w:rPr>
                <w:b/>
                <w:sz w:val="20"/>
                <w:szCs w:val="20"/>
              </w:rPr>
              <w:t>V rámci Komisie pre kybernetickú bezpečnosť sa na konzultáciách zákona zúčastnili:</w:t>
            </w:r>
          </w:p>
          <w:p w:rsidR="00252F43" w:rsidRPr="00870D7F" w:rsidRDefault="00252F43" w:rsidP="00D60196">
            <w:pPr>
              <w:pStyle w:val="Normlnywebov"/>
              <w:spacing w:before="0" w:beforeAutospacing="0" w:after="0" w:afterAutospacing="0"/>
              <w:jc w:val="both"/>
              <w:rPr>
                <w:b/>
                <w:sz w:val="20"/>
                <w:szCs w:val="20"/>
              </w:rPr>
            </w:pPr>
          </w:p>
          <w:p w:rsidR="00252F43" w:rsidRPr="00870D7F" w:rsidRDefault="00252F43" w:rsidP="00D60196">
            <w:pPr>
              <w:pStyle w:val="Normlnywebov"/>
              <w:numPr>
                <w:ilvl w:val="0"/>
                <w:numId w:val="34"/>
              </w:numPr>
              <w:spacing w:before="0" w:beforeAutospacing="0" w:after="0" w:afterAutospacing="0"/>
              <w:jc w:val="both"/>
              <w:rPr>
                <w:b/>
                <w:sz w:val="20"/>
                <w:szCs w:val="20"/>
              </w:rPr>
            </w:pPr>
            <w:r w:rsidRPr="00870D7F">
              <w:rPr>
                <w:b/>
                <w:sz w:val="20"/>
                <w:szCs w:val="20"/>
              </w:rPr>
              <w:t>Slovenská asociácia pre informačnú bezpečnosť</w:t>
            </w:r>
          </w:p>
          <w:p w:rsidR="00252F43" w:rsidRPr="00870D7F" w:rsidRDefault="00252F43" w:rsidP="00D60196">
            <w:pPr>
              <w:pStyle w:val="Normlnywebov"/>
              <w:numPr>
                <w:ilvl w:val="0"/>
                <w:numId w:val="34"/>
              </w:numPr>
              <w:spacing w:before="0" w:beforeAutospacing="0" w:after="0" w:afterAutospacing="0"/>
              <w:jc w:val="both"/>
              <w:rPr>
                <w:b/>
                <w:sz w:val="20"/>
                <w:szCs w:val="20"/>
              </w:rPr>
            </w:pPr>
            <w:r w:rsidRPr="00870D7F">
              <w:rPr>
                <w:b/>
                <w:sz w:val="20"/>
                <w:szCs w:val="20"/>
              </w:rPr>
              <w:t>Slovenská informatická spoločnosť</w:t>
            </w:r>
          </w:p>
          <w:p w:rsidR="00252F43" w:rsidRPr="00870D7F" w:rsidRDefault="00252F43" w:rsidP="00D60196">
            <w:pPr>
              <w:pStyle w:val="Normlnywebov"/>
              <w:numPr>
                <w:ilvl w:val="0"/>
                <w:numId w:val="34"/>
              </w:numPr>
              <w:spacing w:before="0" w:beforeAutospacing="0" w:after="0" w:afterAutospacing="0"/>
              <w:jc w:val="both"/>
              <w:rPr>
                <w:b/>
                <w:sz w:val="20"/>
                <w:szCs w:val="20"/>
              </w:rPr>
            </w:pPr>
            <w:r w:rsidRPr="00870D7F">
              <w:rPr>
                <w:b/>
                <w:sz w:val="20"/>
                <w:szCs w:val="20"/>
              </w:rPr>
              <w:t>IT Asociácia Slovenska</w:t>
            </w:r>
          </w:p>
          <w:p w:rsidR="00252F43" w:rsidRPr="00870D7F" w:rsidRDefault="00252F43" w:rsidP="00D60196">
            <w:pPr>
              <w:pStyle w:val="Normlnywebov"/>
              <w:numPr>
                <w:ilvl w:val="0"/>
                <w:numId w:val="34"/>
              </w:numPr>
              <w:spacing w:before="0" w:beforeAutospacing="0" w:after="0" w:afterAutospacing="0"/>
              <w:jc w:val="both"/>
              <w:rPr>
                <w:rStyle w:val="Siln"/>
                <w:sz w:val="20"/>
                <w:szCs w:val="20"/>
              </w:rPr>
            </w:pPr>
            <w:r w:rsidRPr="00870D7F">
              <w:rPr>
                <w:rStyle w:val="Siln"/>
                <w:sz w:val="20"/>
                <w:szCs w:val="20"/>
              </w:rPr>
              <w:t>ISACA Slovensko</w:t>
            </w:r>
          </w:p>
          <w:p w:rsidR="00252F43" w:rsidRPr="00870D7F" w:rsidRDefault="00252F43" w:rsidP="00D60196">
            <w:pPr>
              <w:pStyle w:val="Normlnywebov"/>
              <w:spacing w:before="0" w:beforeAutospacing="0" w:after="0" w:afterAutospacing="0"/>
              <w:jc w:val="both"/>
              <w:rPr>
                <w:b/>
                <w:bCs/>
                <w:sz w:val="20"/>
                <w:szCs w:val="20"/>
              </w:rPr>
            </w:pPr>
          </w:p>
          <w:p w:rsidR="00252F43" w:rsidRPr="00870D7F" w:rsidRDefault="00252F43" w:rsidP="00D60196">
            <w:pPr>
              <w:pStyle w:val="Normlnywebov"/>
              <w:spacing w:before="0" w:beforeAutospacing="0" w:after="0" w:afterAutospacing="0"/>
              <w:jc w:val="both"/>
              <w:rPr>
                <w:b/>
                <w:sz w:val="20"/>
                <w:szCs w:val="20"/>
              </w:rPr>
            </w:pPr>
            <w:r w:rsidRPr="00870D7F">
              <w:rPr>
                <w:b/>
                <w:sz w:val="20"/>
                <w:szCs w:val="20"/>
              </w:rPr>
              <w:t>Podnikateli</w:t>
            </w:r>
            <w:r w:rsidR="008A6C94" w:rsidRPr="00870D7F">
              <w:rPr>
                <w:b/>
                <w:sz w:val="20"/>
                <w:szCs w:val="20"/>
              </w:rPr>
              <w:t>a boli</w:t>
            </w:r>
            <w:r w:rsidRPr="00870D7F">
              <w:rPr>
                <w:b/>
                <w:sz w:val="20"/>
                <w:szCs w:val="20"/>
              </w:rPr>
              <w:t xml:space="preserve"> o príprave návrhu zákona o kyber</w:t>
            </w:r>
            <w:r w:rsidR="008A6C94" w:rsidRPr="00870D7F">
              <w:rPr>
                <w:b/>
                <w:sz w:val="20"/>
                <w:szCs w:val="20"/>
              </w:rPr>
              <w:t>netickej bezpečnosti informovaní</w:t>
            </w:r>
            <w:r w:rsidRPr="00870D7F">
              <w:rPr>
                <w:b/>
                <w:sz w:val="20"/>
                <w:szCs w:val="20"/>
              </w:rPr>
              <w:t xml:space="preserve"> prostredníctvom webového sídla Národného bezpečnostného úradu a predbežnej informácie k predmetnému návrhu zákona zverejnenej v informačnom systéme verejnej správy Slov-Lex (PI/2016/58).</w:t>
            </w:r>
          </w:p>
          <w:p w:rsidR="00252F43" w:rsidRPr="00870D7F" w:rsidRDefault="00252F43" w:rsidP="00D60196">
            <w:pPr>
              <w:pStyle w:val="Normlnywebov"/>
              <w:spacing w:before="0" w:beforeAutospacing="0" w:after="0" w:afterAutospacing="0"/>
              <w:jc w:val="both"/>
              <w:rPr>
                <w:b/>
                <w:sz w:val="20"/>
                <w:szCs w:val="20"/>
              </w:rPr>
            </w:pPr>
          </w:p>
          <w:p w:rsidR="00252F43" w:rsidRPr="00870D7F" w:rsidRDefault="00F74260" w:rsidP="00D60196">
            <w:pPr>
              <w:pStyle w:val="Normlnywebov"/>
              <w:spacing w:before="0" w:beforeAutospacing="0" w:after="0" w:afterAutospacing="0"/>
              <w:jc w:val="both"/>
              <w:rPr>
                <w:b/>
                <w:sz w:val="20"/>
                <w:szCs w:val="20"/>
              </w:rPr>
            </w:pPr>
            <w:hyperlink r:id="rId10" w:history="1">
              <w:r w:rsidR="00252F43" w:rsidRPr="00870D7F">
                <w:rPr>
                  <w:rStyle w:val="Hypertextovprepojenie"/>
                  <w:sz w:val="20"/>
                  <w:szCs w:val="20"/>
                </w:rPr>
                <w:t>https://www.slov-lex.sk/legislativne-procesy/SK/PI/2016/58</w:t>
              </w:r>
            </w:hyperlink>
          </w:p>
          <w:p w:rsidR="00252F43" w:rsidRPr="00870D7F" w:rsidRDefault="00252F43" w:rsidP="00D60196">
            <w:pPr>
              <w:pStyle w:val="Normlnywebov"/>
              <w:spacing w:before="0" w:beforeAutospacing="0" w:after="0" w:afterAutospacing="0"/>
              <w:jc w:val="both"/>
              <w:rPr>
                <w:b/>
                <w:sz w:val="20"/>
                <w:szCs w:val="20"/>
              </w:rPr>
            </w:pPr>
          </w:p>
          <w:p w:rsidR="00252F43" w:rsidRPr="00870D7F" w:rsidRDefault="00252F43" w:rsidP="00D60196">
            <w:pPr>
              <w:pStyle w:val="Standard"/>
              <w:spacing w:after="0"/>
              <w:jc w:val="both"/>
              <w:rPr>
                <w:rFonts w:ascii="Times New Roman" w:hAnsi="Times New Roman" w:cs="Times New Roman"/>
                <w:b/>
                <w:sz w:val="20"/>
                <w:szCs w:val="20"/>
              </w:rPr>
            </w:pPr>
            <w:r w:rsidRPr="00870D7F">
              <w:rPr>
                <w:rFonts w:ascii="Times New Roman" w:hAnsi="Times New Roman" w:cs="Times New Roman"/>
                <w:b/>
                <w:sz w:val="20"/>
                <w:szCs w:val="20"/>
              </w:rPr>
              <w:t>Na tento oznam nereagoval žiadny podnikateľský subjekt.</w:t>
            </w:r>
          </w:p>
          <w:p w:rsidR="00252F43" w:rsidRPr="00870D7F" w:rsidRDefault="00252F43" w:rsidP="00D60196">
            <w:pPr>
              <w:pStyle w:val="Normlnywebov"/>
              <w:spacing w:before="0" w:beforeAutospacing="0" w:after="0" w:afterAutospacing="0"/>
              <w:jc w:val="both"/>
              <w:rPr>
                <w:b/>
                <w:sz w:val="20"/>
                <w:szCs w:val="20"/>
              </w:rPr>
            </w:pPr>
            <w:r w:rsidRPr="00870D7F">
              <w:rPr>
                <w:b/>
                <w:sz w:val="20"/>
                <w:szCs w:val="20"/>
              </w:rPr>
              <w:t xml:space="preserve">Národný bezpečnostný úrad zároveň v rámci príprav návrhu zákona zorganizoval dva celonárodné workshopy na tému transpozície smernice NIS do národného právneho poriadku, na ktorých sa zúčastnili zástupcovia relevantných podnikateľských subjektov ako aj odborná verejnosť. </w:t>
            </w:r>
          </w:p>
          <w:p w:rsidR="00252F43" w:rsidRPr="00870D7F" w:rsidRDefault="00252F43" w:rsidP="00D60196">
            <w:pPr>
              <w:pStyle w:val="Normlnywebov"/>
              <w:spacing w:before="0" w:beforeAutospacing="0" w:after="0" w:afterAutospacing="0"/>
              <w:jc w:val="both"/>
              <w:rPr>
                <w:b/>
                <w:sz w:val="20"/>
                <w:szCs w:val="20"/>
              </w:rPr>
            </w:pPr>
          </w:p>
          <w:p w:rsidR="00252F43" w:rsidRPr="00870D7F" w:rsidRDefault="00F74260" w:rsidP="00D60196">
            <w:pPr>
              <w:pStyle w:val="Standard"/>
              <w:spacing w:after="0"/>
              <w:jc w:val="both"/>
              <w:rPr>
                <w:rFonts w:ascii="Times New Roman" w:hAnsi="Times New Roman" w:cs="Times New Roman"/>
                <w:b/>
                <w:sz w:val="20"/>
                <w:szCs w:val="20"/>
              </w:rPr>
            </w:pPr>
            <w:hyperlink r:id="rId11" w:history="1">
              <w:r w:rsidR="00252F43" w:rsidRPr="00870D7F">
                <w:rPr>
                  <w:rStyle w:val="Hypertextovprepojenie"/>
                  <w:rFonts w:ascii="Times New Roman" w:hAnsi="Times New Roman" w:cs="Times New Roman"/>
                  <w:sz w:val="20"/>
                  <w:szCs w:val="20"/>
                </w:rPr>
                <w:t>http://www.nbu.gov.sk/2017/02/16/urad-organizoval-workshop-priprava-zakona-o-kybernetickej-bezpecnosti/index.html</w:t>
              </w:r>
            </w:hyperlink>
          </w:p>
          <w:p w:rsidR="00252F43" w:rsidRPr="00870D7F" w:rsidRDefault="00252F43" w:rsidP="00D60196">
            <w:pPr>
              <w:pStyle w:val="Normlnywebov"/>
              <w:spacing w:before="0" w:beforeAutospacing="0" w:after="0" w:afterAutospacing="0"/>
              <w:jc w:val="both"/>
              <w:rPr>
                <w:b/>
                <w:color w:val="FF0000"/>
                <w:sz w:val="20"/>
                <w:szCs w:val="20"/>
              </w:rPr>
            </w:pPr>
            <w:r w:rsidRPr="00870D7F">
              <w:rPr>
                <w:b/>
                <w:sz w:val="20"/>
                <w:szCs w:val="20"/>
              </w:rPr>
              <w:t>Seminára sa zúčastnilo 27 podnikateľských subjektov a</w:t>
            </w:r>
            <w:r w:rsidR="008A6C94" w:rsidRPr="00870D7F">
              <w:rPr>
                <w:b/>
                <w:sz w:val="20"/>
                <w:szCs w:val="20"/>
              </w:rPr>
              <w:t> </w:t>
            </w:r>
            <w:r w:rsidRPr="00870D7F">
              <w:rPr>
                <w:b/>
                <w:sz w:val="20"/>
                <w:szCs w:val="20"/>
              </w:rPr>
              <w:t>asociácií</w:t>
            </w:r>
            <w:r w:rsidR="008A6C94" w:rsidRPr="00870D7F">
              <w:rPr>
                <w:b/>
                <w:sz w:val="20"/>
                <w:szCs w:val="20"/>
              </w:rPr>
              <w:t>.</w:t>
            </w:r>
          </w:p>
          <w:p w:rsidR="00252F43" w:rsidRPr="00870D7F" w:rsidRDefault="00252F43" w:rsidP="00D60196">
            <w:pPr>
              <w:pStyle w:val="Normlnywebov"/>
              <w:spacing w:before="0" w:beforeAutospacing="0" w:after="0" w:afterAutospacing="0"/>
              <w:jc w:val="both"/>
              <w:rPr>
                <w:b/>
                <w:sz w:val="20"/>
                <w:szCs w:val="20"/>
              </w:rPr>
            </w:pPr>
          </w:p>
          <w:p w:rsidR="00252F43" w:rsidRPr="00870D7F" w:rsidRDefault="00252F43" w:rsidP="00D60196">
            <w:pPr>
              <w:pStyle w:val="Normlnywebov"/>
              <w:spacing w:before="0" w:beforeAutospacing="0" w:after="0" w:afterAutospacing="0"/>
              <w:jc w:val="both"/>
              <w:rPr>
                <w:b/>
                <w:sz w:val="20"/>
                <w:szCs w:val="20"/>
              </w:rPr>
            </w:pPr>
            <w:r w:rsidRPr="00870D7F">
              <w:rPr>
                <w:b/>
                <w:sz w:val="20"/>
                <w:szCs w:val="20"/>
              </w:rPr>
              <w:t>Návrh zákona bol teda vypracovaný aj na základe podnetov a po konzultáciách s</w:t>
            </w:r>
            <w:r w:rsidR="008A6C94" w:rsidRPr="00870D7F">
              <w:rPr>
                <w:b/>
                <w:sz w:val="20"/>
                <w:szCs w:val="20"/>
              </w:rPr>
              <w:t> podnikateľským prostredím</w:t>
            </w:r>
            <w:r w:rsidRPr="00870D7F">
              <w:rPr>
                <w:b/>
                <w:sz w:val="20"/>
                <w:szCs w:val="20"/>
              </w:rPr>
              <w:t>, ktoré sa k navrhovaným zm</w:t>
            </w:r>
            <w:r w:rsidR="008A6C94" w:rsidRPr="00870D7F">
              <w:rPr>
                <w:b/>
                <w:sz w:val="20"/>
                <w:szCs w:val="20"/>
              </w:rPr>
              <w:t>enám a oblastiam úprav vyjadrilo</w:t>
            </w:r>
            <w:r w:rsidRPr="00870D7F">
              <w:rPr>
                <w:b/>
                <w:sz w:val="20"/>
                <w:szCs w:val="20"/>
              </w:rPr>
              <w:t xml:space="preserve">, ako aj na základe podnetov a diskusií so zástupcami podnikateľov a odbornej verejnosti formou pripomienok, ktoré boli do textu návrhu zákona zapracované. Návrh zákona bol tak predmetom dvoch neformálnych pripomienkových kôl, v ktorých bolo vznesených spolu viac než 300 pripomienok, ktoré boli transformované do dnešnej podoby návrhu zákona. </w:t>
            </w:r>
          </w:p>
          <w:p w:rsidR="00252F43" w:rsidRPr="00870D7F" w:rsidRDefault="00252F43" w:rsidP="00D60196">
            <w:pPr>
              <w:pStyle w:val="Normlnywebov"/>
              <w:spacing w:before="0" w:beforeAutospacing="0" w:after="0" w:afterAutospacing="0"/>
              <w:jc w:val="both"/>
              <w:rPr>
                <w:b/>
                <w:sz w:val="20"/>
                <w:szCs w:val="20"/>
              </w:rPr>
            </w:pPr>
          </w:p>
          <w:p w:rsidR="00252F43" w:rsidRPr="00870D7F" w:rsidRDefault="00252F43" w:rsidP="00D60196">
            <w:pPr>
              <w:pStyle w:val="Normlnywebov"/>
              <w:spacing w:before="0" w:beforeAutospacing="0" w:after="0" w:afterAutospacing="0"/>
              <w:jc w:val="both"/>
              <w:rPr>
                <w:b/>
                <w:sz w:val="20"/>
                <w:szCs w:val="20"/>
              </w:rPr>
            </w:pPr>
            <w:r w:rsidRPr="00870D7F">
              <w:rPr>
                <w:b/>
                <w:sz w:val="20"/>
                <w:szCs w:val="20"/>
              </w:rPr>
              <w:t>Spolupráca s podnikateľmi významnou mierou prispela ku kvalite spracovania návrhu zákona.</w:t>
            </w:r>
          </w:p>
          <w:p w:rsidR="00252F43" w:rsidRPr="00870D7F" w:rsidRDefault="00252F43" w:rsidP="008A6C94">
            <w:pPr>
              <w:tabs>
                <w:tab w:val="left" w:pos="1850"/>
              </w:tabs>
            </w:pPr>
            <w:r w:rsidRPr="00870D7F">
              <w:tab/>
            </w:r>
          </w:p>
        </w:tc>
      </w:tr>
      <w:tr w:rsidR="00252F43" w:rsidRPr="00870D7F" w:rsidTr="003F0E82">
        <w:tc>
          <w:tcPr>
            <w:tcW w:w="9062" w:type="dxa"/>
            <w:shd w:val="clear" w:color="auto" w:fill="D9D9D9" w:themeFill="background1" w:themeFillShade="D9"/>
          </w:tcPr>
          <w:p w:rsidR="00252F43" w:rsidRPr="00870D7F" w:rsidRDefault="00252F43" w:rsidP="008A6C94">
            <w:pPr>
              <w:rPr>
                <w:b/>
                <w:sz w:val="24"/>
              </w:rPr>
            </w:pPr>
            <w:r w:rsidRPr="00870D7F">
              <w:rPr>
                <w:b/>
                <w:sz w:val="24"/>
              </w:rPr>
              <w:lastRenderedPageBreak/>
              <w:t>3.3 Náklady regulácie</w:t>
            </w:r>
          </w:p>
          <w:p w:rsidR="00252F43" w:rsidRPr="00870D7F" w:rsidRDefault="00252F43" w:rsidP="008A6C94">
            <w:pPr>
              <w:rPr>
                <w:b/>
              </w:rPr>
            </w:pPr>
            <w:r w:rsidRPr="00870D7F">
              <w:rPr>
                <w:sz w:val="24"/>
              </w:rPr>
              <w:t xml:space="preserve">      - </w:t>
            </w:r>
            <w:r w:rsidRPr="00870D7F">
              <w:rPr>
                <w:b/>
                <w:sz w:val="24"/>
              </w:rPr>
              <w:t>z toho MSP</w:t>
            </w:r>
          </w:p>
        </w:tc>
      </w:tr>
      <w:tr w:rsidR="00252F43" w:rsidRPr="00870D7F" w:rsidTr="003F0E82">
        <w:tc>
          <w:tcPr>
            <w:tcW w:w="9062" w:type="dxa"/>
            <w:tcBorders>
              <w:bottom w:val="single" w:sz="4" w:space="0" w:color="auto"/>
            </w:tcBorders>
          </w:tcPr>
          <w:p w:rsidR="00252F43" w:rsidRPr="00870D7F" w:rsidRDefault="00252F43" w:rsidP="008A6C94">
            <w:pPr>
              <w:rPr>
                <w:b/>
                <w:i/>
              </w:rPr>
            </w:pPr>
            <w:r w:rsidRPr="00870D7F">
              <w:rPr>
                <w:b/>
                <w:i/>
              </w:rPr>
              <w:t>3.3.1 Priame finančné náklady</w:t>
            </w:r>
          </w:p>
          <w:p w:rsidR="00252F43" w:rsidRPr="00870D7F" w:rsidRDefault="00252F43" w:rsidP="008A6C94">
            <w:pPr>
              <w:rPr>
                <w:i/>
              </w:rPr>
            </w:pPr>
            <w:r w:rsidRPr="00870D7F">
              <w:rPr>
                <w:i/>
              </w:rPr>
              <w:t xml:space="preserve">Dochádza k zvýšeniu/zníženiu priamych finančných nákladov (poplatky, odvody, dane clá...)? Ak áno, popíšte a vyčíslite ich. Uveďte tiež spôsob ich výpočtu. </w:t>
            </w:r>
          </w:p>
        </w:tc>
      </w:tr>
      <w:tr w:rsidR="00252F43" w:rsidRPr="00870D7F" w:rsidTr="003F0E82">
        <w:tc>
          <w:tcPr>
            <w:tcW w:w="9062" w:type="dxa"/>
            <w:tcBorders>
              <w:bottom w:val="single" w:sz="4" w:space="0" w:color="auto"/>
            </w:tcBorders>
          </w:tcPr>
          <w:p w:rsidR="00252F43" w:rsidRPr="00870D7F" w:rsidRDefault="00252F43" w:rsidP="008A6C94">
            <w:pPr>
              <w:rPr>
                <w:b/>
                <w:i/>
              </w:rPr>
            </w:pPr>
          </w:p>
          <w:p w:rsidR="00252F43" w:rsidRPr="00870D7F" w:rsidRDefault="00252F43" w:rsidP="008A6C94">
            <w:pPr>
              <w:rPr>
                <w:b/>
              </w:rPr>
            </w:pPr>
            <w:r w:rsidRPr="00870D7F">
              <w:rPr>
                <w:b/>
              </w:rPr>
              <w:t>Uvedeným návrhom nedochádza k zvýšeniu/zníženiu priamych finančných nákladov.</w:t>
            </w:r>
          </w:p>
          <w:p w:rsidR="00252F43" w:rsidRPr="00870D7F" w:rsidRDefault="00252F43" w:rsidP="008A6C94">
            <w:pPr>
              <w:rPr>
                <w:b/>
              </w:rPr>
            </w:pPr>
          </w:p>
          <w:p w:rsidR="00252F43" w:rsidRPr="00870D7F" w:rsidRDefault="00252F43" w:rsidP="008A6C94">
            <w:pPr>
              <w:jc w:val="both"/>
              <w:rPr>
                <w:b/>
              </w:rPr>
            </w:pPr>
            <w:r w:rsidRPr="00870D7F">
              <w:rPr>
                <w:b/>
              </w:rPr>
              <w:t>Návrh zákona zavádza nový správny</w:t>
            </w:r>
            <w:r w:rsidR="00E24219" w:rsidRPr="00870D7F">
              <w:rPr>
                <w:b/>
              </w:rPr>
              <w:t xml:space="preserve"> poplatku za a</w:t>
            </w:r>
            <w:r w:rsidRPr="00870D7F">
              <w:rPr>
                <w:b/>
              </w:rPr>
              <w:t xml:space="preserve">kreditáciu jednotky CSIRT </w:t>
            </w:r>
            <w:r w:rsidR="008A6C94" w:rsidRPr="00870D7F">
              <w:rPr>
                <w:b/>
              </w:rPr>
              <w:t>v sume 1 500 eur</w:t>
            </w:r>
            <w:r w:rsidRPr="00870D7F">
              <w:rPr>
                <w:b/>
              </w:rPr>
              <w:t xml:space="preserve">. </w:t>
            </w:r>
            <w:r w:rsidR="008A6C94" w:rsidRPr="00870D7F">
              <w:rPr>
                <w:b/>
              </w:rPr>
              <w:t xml:space="preserve">Ide o </w:t>
            </w:r>
            <w:r w:rsidRPr="00870D7F">
              <w:rPr>
                <w:b/>
              </w:rPr>
              <w:t>právny poplatok, ktorý úrad vyberá na základe žiadosti osoby, ktorá nie je vecne príslušnou autoritou. Náklady na uvedený poplatok nie je možné vyčísliť vzhľadom na to</w:t>
            </w:r>
            <w:r w:rsidR="00E24219" w:rsidRPr="00870D7F">
              <w:rPr>
                <w:b/>
              </w:rPr>
              <w:t>,</w:t>
            </w:r>
            <w:r w:rsidRPr="00870D7F">
              <w:rPr>
                <w:b/>
              </w:rPr>
              <w:t xml:space="preserve"> že </w:t>
            </w:r>
            <w:r w:rsidR="00E24219" w:rsidRPr="00870D7F">
              <w:rPr>
                <w:b/>
              </w:rPr>
              <w:t>nie známy počet subjektov, ktorí</w:t>
            </w:r>
            <w:r w:rsidRPr="00870D7F">
              <w:rPr>
                <w:b/>
              </w:rPr>
              <w:t xml:space="preserve"> majú záujem o</w:t>
            </w:r>
            <w:r w:rsidR="00E24219" w:rsidRPr="00870D7F">
              <w:rPr>
                <w:b/>
              </w:rPr>
              <w:t> </w:t>
            </w:r>
            <w:r w:rsidRPr="00870D7F">
              <w:rPr>
                <w:b/>
              </w:rPr>
              <w:t>akreditáciu</w:t>
            </w:r>
            <w:r w:rsidR="00E24219" w:rsidRPr="00870D7F">
              <w:rPr>
                <w:b/>
              </w:rPr>
              <w:t xml:space="preserve"> jednotky CSIRT (nie je zo zákona povinná).</w:t>
            </w:r>
          </w:p>
          <w:p w:rsidR="00252F43" w:rsidRPr="00870D7F" w:rsidRDefault="00252F43" w:rsidP="008A6C94">
            <w:pPr>
              <w:rPr>
                <w:b/>
                <w:i/>
              </w:rPr>
            </w:pPr>
          </w:p>
        </w:tc>
      </w:tr>
      <w:tr w:rsidR="00252F43" w:rsidRPr="00870D7F" w:rsidTr="003F0E82">
        <w:tc>
          <w:tcPr>
            <w:tcW w:w="9062" w:type="dxa"/>
            <w:tcBorders>
              <w:bottom w:val="single" w:sz="4" w:space="0" w:color="auto"/>
            </w:tcBorders>
          </w:tcPr>
          <w:p w:rsidR="00252F43" w:rsidRPr="00870D7F" w:rsidRDefault="00252F43" w:rsidP="008A6C94">
            <w:pPr>
              <w:rPr>
                <w:b/>
                <w:i/>
              </w:rPr>
            </w:pPr>
            <w:r w:rsidRPr="00870D7F">
              <w:rPr>
                <w:b/>
                <w:i/>
              </w:rPr>
              <w:t>3.3.2 Nepriame finančné náklady</w:t>
            </w:r>
          </w:p>
          <w:p w:rsidR="00252F43" w:rsidRPr="00870D7F" w:rsidRDefault="00252F43" w:rsidP="008A6C94">
            <w:pPr>
              <w:rPr>
                <w:i/>
              </w:rPr>
            </w:pPr>
            <w:r w:rsidRPr="00870D7F">
              <w:rPr>
                <w:i/>
              </w:rPr>
              <w:t>Vyžaduje si predkladaný návrh dodatočné náklady na nákup tovarov alebo služieb? Zvyšuje predkladaný návrh náklady súvisiace so zamestnávaním? Ak áno, popíšte a vyčíslite ich. Uveďte tiež spôsob ich výpočtu.</w:t>
            </w:r>
          </w:p>
        </w:tc>
      </w:tr>
      <w:tr w:rsidR="00252F43" w:rsidRPr="00870D7F" w:rsidTr="003F0E82">
        <w:tc>
          <w:tcPr>
            <w:tcW w:w="9062" w:type="dxa"/>
            <w:tcBorders>
              <w:bottom w:val="single" w:sz="4" w:space="0" w:color="auto"/>
            </w:tcBorders>
          </w:tcPr>
          <w:p w:rsidR="00252F43" w:rsidRPr="00870D7F" w:rsidRDefault="00252F43" w:rsidP="008A6C94">
            <w:pPr>
              <w:rPr>
                <w:b/>
                <w:i/>
              </w:rPr>
            </w:pPr>
          </w:p>
          <w:p w:rsidR="00252F43" w:rsidRPr="00870D7F" w:rsidRDefault="00252F43" w:rsidP="008A6C94">
            <w:pPr>
              <w:rPr>
                <w:b/>
              </w:rPr>
            </w:pPr>
            <w:r w:rsidRPr="00870D7F">
              <w:rPr>
                <w:b/>
              </w:rPr>
              <w:t>PZS a PDS sú povinný prijať a dodržiavať bezpečnostné opatrenia najmenej v rozsahu určených zákonom.</w:t>
            </w:r>
          </w:p>
          <w:p w:rsidR="00252F43" w:rsidRPr="00870D7F" w:rsidRDefault="00252F43" w:rsidP="008A6C94">
            <w:pPr>
              <w:rPr>
                <w:b/>
              </w:rPr>
            </w:pPr>
          </w:p>
          <w:p w:rsidR="00252F43" w:rsidRPr="00870D7F" w:rsidRDefault="00252F43" w:rsidP="008A6C94">
            <w:pPr>
              <w:tabs>
                <w:tab w:val="left" w:pos="1134"/>
              </w:tabs>
              <w:suppressAutoHyphens/>
              <w:autoSpaceDN w:val="0"/>
              <w:jc w:val="both"/>
              <w:textAlignment w:val="baseline"/>
              <w:rPr>
                <w:b/>
                <w:bCs/>
              </w:rPr>
            </w:pPr>
            <w:r w:rsidRPr="00870D7F">
              <w:rPr>
                <w:b/>
                <w:bCs/>
              </w:rPr>
              <w:t>Bezpečnostné opatrenia sa prijímajú pre oblasť</w:t>
            </w:r>
          </w:p>
          <w:p w:rsidR="00D60196" w:rsidRPr="00D60196" w:rsidRDefault="00D60196" w:rsidP="00D60196">
            <w:pPr>
              <w:numPr>
                <w:ilvl w:val="0"/>
                <w:numId w:val="13"/>
              </w:numPr>
              <w:suppressAutoHyphens/>
              <w:autoSpaceDN w:val="0"/>
              <w:ind w:left="567" w:hanging="567"/>
              <w:jc w:val="both"/>
              <w:textAlignment w:val="baseline"/>
              <w:rPr>
                <w:b/>
                <w:bCs/>
              </w:rPr>
            </w:pPr>
            <w:r w:rsidRPr="00D60196">
              <w:rPr>
                <w:b/>
                <w:bCs/>
              </w:rPr>
              <w:t>organizácie informačnej bezpečnosti</w:t>
            </w:r>
          </w:p>
          <w:p w:rsidR="00D60196" w:rsidRPr="00D60196" w:rsidRDefault="00D60196" w:rsidP="00D60196">
            <w:pPr>
              <w:numPr>
                <w:ilvl w:val="0"/>
                <w:numId w:val="13"/>
              </w:numPr>
              <w:suppressAutoHyphens/>
              <w:autoSpaceDN w:val="0"/>
              <w:ind w:left="567" w:hanging="567"/>
              <w:jc w:val="both"/>
              <w:textAlignment w:val="baseline"/>
              <w:rPr>
                <w:b/>
                <w:bCs/>
              </w:rPr>
            </w:pPr>
            <w:r w:rsidRPr="00D60196">
              <w:rPr>
                <w:b/>
                <w:bCs/>
              </w:rPr>
              <w:t xml:space="preserve">riadenia aktív, hrozieb a rizík, </w:t>
            </w:r>
          </w:p>
          <w:p w:rsidR="00D60196" w:rsidRPr="00D60196" w:rsidRDefault="00D60196" w:rsidP="00D60196">
            <w:pPr>
              <w:numPr>
                <w:ilvl w:val="0"/>
                <w:numId w:val="13"/>
              </w:numPr>
              <w:suppressAutoHyphens/>
              <w:autoSpaceDN w:val="0"/>
              <w:ind w:left="567" w:hanging="567"/>
              <w:jc w:val="both"/>
              <w:textAlignment w:val="baseline"/>
              <w:rPr>
                <w:b/>
                <w:bCs/>
              </w:rPr>
            </w:pPr>
            <w:r w:rsidRPr="00D60196">
              <w:rPr>
                <w:b/>
                <w:bCs/>
              </w:rPr>
              <w:t>personálnej bezpečnosti,</w:t>
            </w:r>
          </w:p>
          <w:p w:rsidR="00D60196" w:rsidRPr="00D60196" w:rsidRDefault="00D60196" w:rsidP="00D60196">
            <w:pPr>
              <w:numPr>
                <w:ilvl w:val="0"/>
                <w:numId w:val="13"/>
              </w:numPr>
              <w:suppressAutoHyphens/>
              <w:autoSpaceDN w:val="0"/>
              <w:ind w:left="567" w:hanging="567"/>
              <w:jc w:val="both"/>
              <w:textAlignment w:val="baseline"/>
              <w:rPr>
                <w:b/>
                <w:bCs/>
              </w:rPr>
            </w:pPr>
            <w:r w:rsidRPr="00D60196">
              <w:rPr>
                <w:b/>
                <w:bCs/>
              </w:rPr>
              <w:t>riadenia dodávateľských služieb, akvizície, vývoja a údržby informačných systémov,</w:t>
            </w:r>
          </w:p>
          <w:p w:rsidR="00D60196" w:rsidRPr="00D60196" w:rsidRDefault="00D60196" w:rsidP="00D60196">
            <w:pPr>
              <w:numPr>
                <w:ilvl w:val="0"/>
                <w:numId w:val="13"/>
              </w:numPr>
              <w:suppressAutoHyphens/>
              <w:autoSpaceDN w:val="0"/>
              <w:ind w:left="567" w:hanging="567"/>
              <w:jc w:val="both"/>
              <w:textAlignment w:val="baseline"/>
              <w:rPr>
                <w:b/>
                <w:bCs/>
              </w:rPr>
            </w:pPr>
            <w:r w:rsidRPr="00D60196">
              <w:rPr>
                <w:b/>
                <w:bCs/>
              </w:rPr>
              <w:t>technických zraniteľností systémov a zariadení,</w:t>
            </w:r>
          </w:p>
          <w:p w:rsidR="00D60196" w:rsidRPr="00D60196" w:rsidRDefault="00D60196" w:rsidP="00D60196">
            <w:pPr>
              <w:numPr>
                <w:ilvl w:val="0"/>
                <w:numId w:val="13"/>
              </w:numPr>
              <w:suppressAutoHyphens/>
              <w:autoSpaceDN w:val="0"/>
              <w:ind w:left="567" w:hanging="567"/>
              <w:jc w:val="both"/>
              <w:textAlignment w:val="baseline"/>
              <w:rPr>
                <w:b/>
                <w:bCs/>
              </w:rPr>
            </w:pPr>
            <w:r w:rsidRPr="00D60196">
              <w:rPr>
                <w:b/>
                <w:bCs/>
              </w:rPr>
              <w:t>riadenia bezpečnosti siete, informačných a komunikačných systémov,</w:t>
            </w:r>
          </w:p>
          <w:p w:rsidR="00D60196" w:rsidRPr="00D60196" w:rsidRDefault="00D60196" w:rsidP="00D60196">
            <w:pPr>
              <w:numPr>
                <w:ilvl w:val="0"/>
                <w:numId w:val="13"/>
              </w:numPr>
              <w:suppressAutoHyphens/>
              <w:autoSpaceDN w:val="0"/>
              <w:ind w:left="567" w:hanging="567"/>
              <w:jc w:val="both"/>
              <w:textAlignment w:val="baseline"/>
              <w:rPr>
                <w:b/>
                <w:bCs/>
              </w:rPr>
            </w:pPr>
            <w:r w:rsidRPr="00D60196">
              <w:rPr>
                <w:b/>
                <w:bCs/>
              </w:rPr>
              <w:lastRenderedPageBreak/>
              <w:t>riadenia prevádzky,</w:t>
            </w:r>
          </w:p>
          <w:p w:rsidR="00D60196" w:rsidRPr="00D60196" w:rsidRDefault="00D60196" w:rsidP="00D60196">
            <w:pPr>
              <w:numPr>
                <w:ilvl w:val="0"/>
                <w:numId w:val="13"/>
              </w:numPr>
              <w:suppressAutoHyphens/>
              <w:autoSpaceDN w:val="0"/>
              <w:ind w:left="567" w:hanging="567"/>
              <w:jc w:val="both"/>
              <w:textAlignment w:val="baseline"/>
              <w:rPr>
                <w:b/>
                <w:bCs/>
              </w:rPr>
            </w:pPr>
            <w:r w:rsidRPr="00D60196">
              <w:rPr>
                <w:b/>
                <w:bCs/>
              </w:rPr>
              <w:t>riadenia prístupov,</w:t>
            </w:r>
          </w:p>
          <w:p w:rsidR="00D60196" w:rsidRPr="00D60196" w:rsidRDefault="00D60196" w:rsidP="00D60196">
            <w:pPr>
              <w:numPr>
                <w:ilvl w:val="0"/>
                <w:numId w:val="13"/>
              </w:numPr>
              <w:suppressAutoHyphens/>
              <w:autoSpaceDN w:val="0"/>
              <w:ind w:left="567" w:hanging="567"/>
              <w:jc w:val="both"/>
              <w:textAlignment w:val="baseline"/>
              <w:rPr>
                <w:b/>
                <w:bCs/>
              </w:rPr>
            </w:pPr>
            <w:r w:rsidRPr="00D60196">
              <w:rPr>
                <w:b/>
                <w:bCs/>
              </w:rPr>
              <w:t>kryptografických opatrení,</w:t>
            </w:r>
          </w:p>
          <w:p w:rsidR="00D60196" w:rsidRPr="00D60196" w:rsidRDefault="00D60196" w:rsidP="00D60196">
            <w:pPr>
              <w:numPr>
                <w:ilvl w:val="0"/>
                <w:numId w:val="13"/>
              </w:numPr>
              <w:suppressAutoHyphens/>
              <w:autoSpaceDN w:val="0"/>
              <w:ind w:left="567" w:hanging="567"/>
              <w:jc w:val="both"/>
              <w:textAlignment w:val="baseline"/>
              <w:rPr>
                <w:b/>
                <w:bCs/>
              </w:rPr>
            </w:pPr>
            <w:r w:rsidRPr="00D60196">
              <w:rPr>
                <w:b/>
                <w:bCs/>
              </w:rPr>
              <w:t>riešenia kybernetických bezpečnostných incidentov,</w:t>
            </w:r>
          </w:p>
          <w:p w:rsidR="00D60196" w:rsidRPr="00D60196" w:rsidRDefault="00D60196" w:rsidP="00D60196">
            <w:pPr>
              <w:numPr>
                <w:ilvl w:val="0"/>
                <w:numId w:val="13"/>
              </w:numPr>
              <w:suppressAutoHyphens/>
              <w:autoSpaceDN w:val="0"/>
              <w:ind w:left="567" w:hanging="567"/>
              <w:jc w:val="both"/>
              <w:textAlignment w:val="baseline"/>
              <w:rPr>
                <w:b/>
                <w:bCs/>
              </w:rPr>
            </w:pPr>
            <w:r w:rsidRPr="00D60196">
              <w:rPr>
                <w:b/>
                <w:bCs/>
              </w:rPr>
              <w:t>monitorovania, testovania bezpečnosti a bezpečnostných auditov,</w:t>
            </w:r>
          </w:p>
          <w:p w:rsidR="00D60196" w:rsidRPr="00D60196" w:rsidRDefault="00D60196" w:rsidP="00D60196">
            <w:pPr>
              <w:numPr>
                <w:ilvl w:val="0"/>
                <w:numId w:val="13"/>
              </w:numPr>
              <w:suppressAutoHyphens/>
              <w:autoSpaceDN w:val="0"/>
              <w:ind w:left="567" w:hanging="567"/>
              <w:jc w:val="both"/>
              <w:textAlignment w:val="baseline"/>
              <w:rPr>
                <w:b/>
                <w:bCs/>
              </w:rPr>
            </w:pPr>
            <w:r w:rsidRPr="00D60196">
              <w:rPr>
                <w:b/>
                <w:bCs/>
              </w:rPr>
              <w:t>fyzickej bezpečnosti a bezpečnosti prostredia,</w:t>
            </w:r>
          </w:p>
          <w:p w:rsidR="00D60196" w:rsidRPr="001435C7" w:rsidRDefault="00D60196" w:rsidP="00D60196">
            <w:pPr>
              <w:numPr>
                <w:ilvl w:val="0"/>
                <w:numId w:val="13"/>
              </w:numPr>
              <w:suppressAutoHyphens/>
              <w:autoSpaceDN w:val="0"/>
              <w:ind w:left="567" w:hanging="567"/>
              <w:jc w:val="both"/>
              <w:textAlignment w:val="baseline"/>
              <w:rPr>
                <w:bCs/>
                <w:sz w:val="24"/>
              </w:rPr>
            </w:pPr>
            <w:r w:rsidRPr="00D60196">
              <w:rPr>
                <w:b/>
                <w:bCs/>
              </w:rPr>
              <w:t>riadenia kontinuity procesov</w:t>
            </w:r>
            <w:r w:rsidRPr="001435C7">
              <w:rPr>
                <w:bCs/>
                <w:sz w:val="24"/>
              </w:rPr>
              <w:t>.</w:t>
            </w:r>
          </w:p>
          <w:p w:rsidR="00252F43" w:rsidRPr="00870D7F" w:rsidRDefault="00252F43" w:rsidP="008A6C94">
            <w:pPr>
              <w:rPr>
                <w:b/>
                <w:i/>
              </w:rPr>
            </w:pPr>
          </w:p>
          <w:p w:rsidR="00052C7B" w:rsidRPr="00870D7F" w:rsidRDefault="00252F43" w:rsidP="001F55A1">
            <w:pPr>
              <w:jc w:val="both"/>
              <w:rPr>
                <w:b/>
              </w:rPr>
            </w:pPr>
            <w:r w:rsidRPr="00870D7F">
              <w:rPr>
                <w:b/>
              </w:rPr>
              <w:t>Reguláciou navrhované bezpečnostné opatrenia predstavujú zvýšené náklady pre PZS a PDS.</w:t>
            </w:r>
            <w:r w:rsidR="001F55A1" w:rsidRPr="00870D7F">
              <w:rPr>
                <w:b/>
              </w:rPr>
              <w:t xml:space="preserve">                             </w:t>
            </w:r>
            <w:r w:rsidRPr="00870D7F">
              <w:rPr>
                <w:b/>
              </w:rPr>
              <w:t xml:space="preserve">V súčasnosti však nie je možné kvantifikovať vplyvy na konkrétnych PZS a PDS, ktorých sa regulácia týka. Tieto bude možné podrobnejšie špecifikovať až v rámci procesu realizácie jednotlivých opatrení návrhu zákona. </w:t>
            </w:r>
          </w:p>
          <w:p w:rsidR="00D60196" w:rsidRDefault="00D60196" w:rsidP="008A6C94">
            <w:pPr>
              <w:jc w:val="both"/>
              <w:rPr>
                <w:b/>
              </w:rPr>
            </w:pPr>
          </w:p>
          <w:p w:rsidR="00252F43" w:rsidRPr="00870D7F" w:rsidRDefault="00252F43" w:rsidP="008A6C94">
            <w:pPr>
              <w:jc w:val="both"/>
              <w:rPr>
                <w:b/>
              </w:rPr>
            </w:pPr>
            <w:r w:rsidRPr="00870D7F">
              <w:rPr>
                <w:b/>
              </w:rPr>
              <w:t xml:space="preserve">Podľa odhadov sú investície do bezpečnostných opatrení kybernetickej bezpečnosti v rozsahu 0,1 až 1% obratu a to vzhľadom na odhad rizík podľa analýz.  </w:t>
            </w:r>
          </w:p>
          <w:p w:rsidR="00252F43" w:rsidRPr="00870D7F" w:rsidRDefault="00252F43" w:rsidP="008A6C94">
            <w:pPr>
              <w:rPr>
                <w:b/>
              </w:rPr>
            </w:pPr>
          </w:p>
          <w:p w:rsidR="00252F43" w:rsidRPr="00870D7F" w:rsidRDefault="00252F43" w:rsidP="008A6C94">
            <w:pPr>
              <w:jc w:val="both"/>
              <w:rPr>
                <w:b/>
              </w:rPr>
            </w:pPr>
            <w:r w:rsidRPr="00870D7F">
              <w:rPr>
                <w:b/>
              </w:rPr>
              <w:t>Pozitívne vplyvy na PZS a PDS tiež nie je možné v súčasnosti kvantifikovať, aj keď v budúcnosti by mohli nastať za predpokladu, že nedôjde k narušeniu kybernetickej bezpečnosti.</w:t>
            </w:r>
          </w:p>
          <w:p w:rsidR="00252F43" w:rsidRPr="00870D7F" w:rsidRDefault="00252F43" w:rsidP="008A6C94">
            <w:pPr>
              <w:rPr>
                <w:b/>
              </w:rPr>
            </w:pPr>
          </w:p>
          <w:p w:rsidR="00252F43" w:rsidRPr="00870D7F" w:rsidRDefault="00252F43" w:rsidP="008A6C94">
            <w:pPr>
              <w:rPr>
                <w:b/>
                <w:bCs/>
                <w:color w:val="77AC00"/>
              </w:rPr>
            </w:pPr>
            <w:r w:rsidRPr="00870D7F">
              <w:rPr>
                <w:b/>
              </w:rPr>
              <w:t>Predkladaný návrh nezvyšuje náklady súvisiace so zamestnávaním.</w:t>
            </w:r>
          </w:p>
          <w:p w:rsidR="00252F43" w:rsidRPr="00870D7F" w:rsidRDefault="00252F43" w:rsidP="008A6C94">
            <w:pPr>
              <w:rPr>
                <w:b/>
                <w:i/>
              </w:rPr>
            </w:pPr>
          </w:p>
        </w:tc>
      </w:tr>
      <w:tr w:rsidR="00252F43" w:rsidRPr="00870D7F" w:rsidTr="003F0E82">
        <w:tc>
          <w:tcPr>
            <w:tcW w:w="9062" w:type="dxa"/>
            <w:tcBorders>
              <w:bottom w:val="single" w:sz="4" w:space="0" w:color="auto"/>
            </w:tcBorders>
          </w:tcPr>
          <w:p w:rsidR="00252F43" w:rsidRPr="00870D7F" w:rsidRDefault="00252F43" w:rsidP="008A6C94">
            <w:pPr>
              <w:rPr>
                <w:b/>
                <w:i/>
              </w:rPr>
            </w:pPr>
            <w:r w:rsidRPr="00870D7F">
              <w:rPr>
                <w:b/>
                <w:i/>
              </w:rPr>
              <w:lastRenderedPageBreak/>
              <w:t>3.3.3 Administratívne náklady</w:t>
            </w:r>
          </w:p>
          <w:p w:rsidR="00252F43" w:rsidRPr="00870D7F" w:rsidRDefault="00252F43" w:rsidP="008A6C94">
            <w:pPr>
              <w:rPr>
                <w:i/>
              </w:rPr>
            </w:pPr>
            <w:r w:rsidRPr="00870D7F">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252F43" w:rsidRPr="00870D7F" w:rsidTr="003F0E82">
        <w:tc>
          <w:tcPr>
            <w:tcW w:w="9062" w:type="dxa"/>
            <w:tcBorders>
              <w:bottom w:val="single" w:sz="4" w:space="0" w:color="auto"/>
            </w:tcBorders>
          </w:tcPr>
          <w:p w:rsidR="00252F43" w:rsidRPr="00870D7F" w:rsidRDefault="00252F43" w:rsidP="008A6C94">
            <w:pPr>
              <w:rPr>
                <w:b/>
                <w:i/>
                <w:u w:val="single"/>
              </w:rPr>
            </w:pPr>
          </w:p>
          <w:p w:rsidR="00252F43" w:rsidRPr="00870D7F" w:rsidRDefault="00252F43" w:rsidP="008A6C94">
            <w:pPr>
              <w:rPr>
                <w:b/>
              </w:rPr>
            </w:pPr>
            <w:r w:rsidRPr="00870D7F">
              <w:rPr>
                <w:b/>
              </w:rPr>
              <w:t xml:space="preserve">Predložený návrh zákona má vplyv na zvýšenie administratívnej záťaže. </w:t>
            </w:r>
          </w:p>
          <w:p w:rsidR="00252F43" w:rsidRPr="00870D7F" w:rsidRDefault="00252F43" w:rsidP="008A6C94">
            <w:pPr>
              <w:rPr>
                <w:b/>
              </w:rPr>
            </w:pPr>
            <w:r w:rsidRPr="00870D7F">
              <w:rPr>
                <w:b/>
              </w:rPr>
              <w:t>Ide o:</w:t>
            </w:r>
          </w:p>
          <w:p w:rsidR="00252F43" w:rsidRPr="00870D7F" w:rsidRDefault="00252F43" w:rsidP="00D11689">
            <w:pPr>
              <w:pStyle w:val="Odsekzoznamu"/>
              <w:numPr>
                <w:ilvl w:val="0"/>
                <w:numId w:val="36"/>
              </w:numPr>
              <w:spacing w:line="240" w:lineRule="auto"/>
              <w:rPr>
                <w:rFonts w:ascii="Times New Roman" w:hAnsi="Times New Roman" w:cs="Times New Roman"/>
                <w:b/>
                <w:i/>
                <w:sz w:val="20"/>
                <w:szCs w:val="20"/>
                <w:u w:val="single"/>
              </w:rPr>
            </w:pPr>
            <w:r w:rsidRPr="00870D7F">
              <w:rPr>
                <w:rFonts w:ascii="Times New Roman" w:hAnsi="Times New Roman" w:cs="Times New Roman"/>
                <w:b/>
                <w:sz w:val="20"/>
                <w:szCs w:val="20"/>
              </w:rPr>
              <w:t xml:space="preserve">Oznámenie o splnení kritérií pre PZS a PDS ustanovených </w:t>
            </w:r>
            <w:r w:rsidR="00437E85" w:rsidRPr="00870D7F">
              <w:rPr>
                <w:rFonts w:ascii="Times New Roman" w:hAnsi="Times New Roman" w:cs="Times New Roman"/>
                <w:b/>
                <w:sz w:val="20"/>
                <w:szCs w:val="20"/>
              </w:rPr>
              <w:t>zákonom</w:t>
            </w:r>
            <w:r w:rsidR="007E6D1F" w:rsidRPr="00870D7F">
              <w:rPr>
                <w:rFonts w:ascii="Times New Roman" w:hAnsi="Times New Roman" w:cs="Times New Roman"/>
                <w:b/>
                <w:sz w:val="20"/>
                <w:szCs w:val="20"/>
              </w:rPr>
              <w:t>.</w:t>
            </w:r>
          </w:p>
          <w:p w:rsidR="00252F43" w:rsidRPr="00870D7F" w:rsidRDefault="00252F43" w:rsidP="00D11689">
            <w:pPr>
              <w:pStyle w:val="Odsekzoznamu"/>
              <w:numPr>
                <w:ilvl w:val="0"/>
                <w:numId w:val="36"/>
              </w:numPr>
              <w:spacing w:line="240" w:lineRule="auto"/>
              <w:rPr>
                <w:rFonts w:ascii="Times New Roman" w:hAnsi="Times New Roman" w:cs="Times New Roman"/>
                <w:b/>
                <w:i/>
                <w:sz w:val="20"/>
                <w:szCs w:val="20"/>
                <w:u w:val="single"/>
              </w:rPr>
            </w:pPr>
            <w:r w:rsidRPr="00870D7F">
              <w:rPr>
                <w:rFonts w:ascii="Times New Roman" w:hAnsi="Times New Roman" w:cs="Times New Roman"/>
                <w:b/>
                <w:sz w:val="20"/>
                <w:szCs w:val="20"/>
              </w:rPr>
              <w:t xml:space="preserve">Hlásenie kybernetického bezpečnostného incidentu v rozsahu určenom </w:t>
            </w:r>
            <w:r w:rsidR="00437E85" w:rsidRPr="00870D7F">
              <w:rPr>
                <w:rFonts w:ascii="Times New Roman" w:hAnsi="Times New Roman" w:cs="Times New Roman"/>
                <w:b/>
                <w:sz w:val="20"/>
                <w:szCs w:val="20"/>
              </w:rPr>
              <w:t>zákonom</w:t>
            </w:r>
            <w:r w:rsidR="00CB798C" w:rsidRPr="00870D7F">
              <w:rPr>
                <w:rFonts w:ascii="Times New Roman" w:hAnsi="Times New Roman" w:cs="Times New Roman"/>
                <w:b/>
                <w:sz w:val="20"/>
                <w:szCs w:val="20"/>
              </w:rPr>
              <w:t>.</w:t>
            </w:r>
          </w:p>
          <w:p w:rsidR="00252F43" w:rsidRPr="00870D7F" w:rsidRDefault="00252F43" w:rsidP="00D11689">
            <w:pPr>
              <w:pStyle w:val="Odsekzoznamu"/>
              <w:numPr>
                <w:ilvl w:val="0"/>
                <w:numId w:val="36"/>
              </w:numPr>
              <w:tabs>
                <w:tab w:val="left" w:pos="1134"/>
              </w:tabs>
              <w:spacing w:line="240" w:lineRule="auto"/>
              <w:rPr>
                <w:rFonts w:ascii="Times New Roman" w:hAnsi="Times New Roman" w:cs="Times New Roman"/>
                <w:b/>
                <w:sz w:val="20"/>
                <w:szCs w:val="20"/>
              </w:rPr>
            </w:pPr>
            <w:r w:rsidRPr="00870D7F">
              <w:rPr>
                <w:rFonts w:ascii="Times New Roman" w:hAnsi="Times New Roman" w:cs="Times New Roman"/>
                <w:b/>
                <w:sz w:val="20"/>
                <w:szCs w:val="20"/>
              </w:rPr>
              <w:t>Hlásenie zmeny v</w:t>
            </w:r>
            <w:r w:rsidR="00437E85" w:rsidRPr="00870D7F">
              <w:rPr>
                <w:rFonts w:ascii="Times New Roman" w:hAnsi="Times New Roman" w:cs="Times New Roman"/>
                <w:b/>
                <w:sz w:val="20"/>
                <w:szCs w:val="20"/>
              </w:rPr>
              <w:t> </w:t>
            </w:r>
            <w:r w:rsidRPr="00870D7F">
              <w:rPr>
                <w:rFonts w:ascii="Times New Roman" w:hAnsi="Times New Roman" w:cs="Times New Roman"/>
                <w:b/>
                <w:sz w:val="20"/>
                <w:szCs w:val="20"/>
              </w:rPr>
              <w:t>údajoch</w:t>
            </w:r>
            <w:r w:rsidR="00437E85" w:rsidRPr="00870D7F">
              <w:rPr>
                <w:rFonts w:ascii="Times New Roman" w:hAnsi="Times New Roman" w:cs="Times New Roman"/>
                <w:b/>
                <w:sz w:val="20"/>
                <w:szCs w:val="20"/>
              </w:rPr>
              <w:t xml:space="preserve"> PZS a</w:t>
            </w:r>
            <w:r w:rsidR="007E6D1F" w:rsidRPr="00870D7F">
              <w:rPr>
                <w:rFonts w:ascii="Times New Roman" w:hAnsi="Times New Roman" w:cs="Times New Roman"/>
                <w:b/>
                <w:sz w:val="20"/>
                <w:szCs w:val="20"/>
              </w:rPr>
              <w:t> </w:t>
            </w:r>
            <w:r w:rsidR="00437E85" w:rsidRPr="00870D7F">
              <w:rPr>
                <w:rFonts w:ascii="Times New Roman" w:hAnsi="Times New Roman" w:cs="Times New Roman"/>
                <w:b/>
                <w:sz w:val="20"/>
                <w:szCs w:val="20"/>
              </w:rPr>
              <w:t>PDS</w:t>
            </w:r>
            <w:r w:rsidR="007E6D1F" w:rsidRPr="00870D7F">
              <w:rPr>
                <w:rFonts w:ascii="Times New Roman" w:hAnsi="Times New Roman" w:cs="Times New Roman"/>
                <w:b/>
                <w:sz w:val="20"/>
                <w:szCs w:val="20"/>
              </w:rPr>
              <w:t>.</w:t>
            </w:r>
          </w:p>
          <w:p w:rsidR="00252F43" w:rsidRPr="00870D7F" w:rsidRDefault="00437E85" w:rsidP="00D11689">
            <w:pPr>
              <w:pStyle w:val="Odsekzoznamu"/>
              <w:numPr>
                <w:ilvl w:val="0"/>
                <w:numId w:val="36"/>
              </w:numPr>
              <w:tabs>
                <w:tab w:val="left" w:pos="1134"/>
              </w:tabs>
              <w:suppressAutoHyphens/>
              <w:autoSpaceDN w:val="0"/>
              <w:spacing w:line="240" w:lineRule="auto"/>
              <w:jc w:val="both"/>
              <w:textAlignment w:val="baseline"/>
              <w:rPr>
                <w:rFonts w:ascii="Times New Roman" w:hAnsi="Times New Roman" w:cs="Times New Roman"/>
                <w:b/>
                <w:bCs/>
                <w:sz w:val="20"/>
                <w:szCs w:val="20"/>
              </w:rPr>
            </w:pPr>
            <w:r w:rsidRPr="00870D7F">
              <w:rPr>
                <w:rFonts w:ascii="Times New Roman" w:hAnsi="Times New Roman" w:cs="Times New Roman"/>
                <w:b/>
                <w:sz w:val="20"/>
                <w:szCs w:val="20"/>
              </w:rPr>
              <w:t>PZS</w:t>
            </w:r>
            <w:r w:rsidR="00252F43" w:rsidRPr="00870D7F">
              <w:rPr>
                <w:rFonts w:ascii="Times New Roman" w:hAnsi="Times New Roman" w:cs="Times New Roman"/>
                <w:b/>
                <w:sz w:val="20"/>
                <w:szCs w:val="20"/>
              </w:rPr>
              <w:t xml:space="preserve"> je povinný dňom zaradenia do registra informovať podnik na poskytovanie elektronických komunikačných služieb alebo sietí podľa osobitného predpisu, ku ktorému je sieť alebo informačný syst</w:t>
            </w:r>
            <w:r w:rsidR="007E6D1F" w:rsidRPr="00870D7F">
              <w:rPr>
                <w:rFonts w:ascii="Times New Roman" w:hAnsi="Times New Roman" w:cs="Times New Roman"/>
                <w:b/>
                <w:sz w:val="20"/>
                <w:szCs w:val="20"/>
              </w:rPr>
              <w:t>ém základnej služby pripojená.</w:t>
            </w:r>
          </w:p>
          <w:p w:rsidR="00252F43" w:rsidRPr="00870D7F" w:rsidRDefault="00252F43" w:rsidP="00D11689">
            <w:pPr>
              <w:pStyle w:val="Odsekzoznamu"/>
              <w:numPr>
                <w:ilvl w:val="0"/>
                <w:numId w:val="36"/>
              </w:numPr>
              <w:tabs>
                <w:tab w:val="left" w:pos="1134"/>
              </w:tabs>
              <w:suppressAutoHyphens/>
              <w:autoSpaceDN w:val="0"/>
              <w:spacing w:line="240" w:lineRule="auto"/>
              <w:jc w:val="both"/>
              <w:textAlignment w:val="baseline"/>
              <w:rPr>
                <w:rFonts w:ascii="Times New Roman" w:hAnsi="Times New Roman" w:cs="Times New Roman"/>
                <w:b/>
                <w:bCs/>
                <w:sz w:val="20"/>
                <w:szCs w:val="20"/>
              </w:rPr>
            </w:pPr>
            <w:r w:rsidRPr="00870D7F">
              <w:rPr>
                <w:rFonts w:ascii="Times New Roman" w:hAnsi="Times New Roman" w:cs="Times New Roman"/>
                <w:b/>
                <w:bCs/>
                <w:sz w:val="20"/>
                <w:szCs w:val="20"/>
              </w:rPr>
              <w:t>Vypracovanie bezpečnostnej dokumentácie a</w:t>
            </w:r>
            <w:r w:rsidR="00437E85" w:rsidRPr="00870D7F">
              <w:rPr>
                <w:rFonts w:ascii="Times New Roman" w:hAnsi="Times New Roman" w:cs="Times New Roman"/>
                <w:b/>
                <w:bCs/>
                <w:sz w:val="20"/>
                <w:szCs w:val="20"/>
              </w:rPr>
              <w:t> jej aktualizovanie</w:t>
            </w:r>
            <w:r w:rsidR="007E6D1F" w:rsidRPr="00870D7F">
              <w:rPr>
                <w:rFonts w:ascii="Times New Roman" w:hAnsi="Times New Roman" w:cs="Times New Roman"/>
                <w:b/>
                <w:bCs/>
                <w:sz w:val="20"/>
                <w:szCs w:val="20"/>
              </w:rPr>
              <w:t>.</w:t>
            </w:r>
          </w:p>
          <w:p w:rsidR="00252F43" w:rsidRPr="00870D7F" w:rsidRDefault="00252F43" w:rsidP="00D11689">
            <w:pPr>
              <w:pStyle w:val="Odsekzoznamu"/>
              <w:numPr>
                <w:ilvl w:val="0"/>
                <w:numId w:val="36"/>
              </w:numPr>
              <w:tabs>
                <w:tab w:val="left" w:pos="1134"/>
              </w:tabs>
              <w:suppressAutoHyphens/>
              <w:autoSpaceDN w:val="0"/>
              <w:spacing w:line="240" w:lineRule="auto"/>
              <w:jc w:val="both"/>
              <w:textAlignment w:val="baseline"/>
              <w:rPr>
                <w:rFonts w:ascii="Times New Roman" w:hAnsi="Times New Roman" w:cs="Times New Roman"/>
                <w:b/>
                <w:bCs/>
                <w:sz w:val="20"/>
                <w:szCs w:val="20"/>
              </w:rPr>
            </w:pPr>
            <w:r w:rsidRPr="00870D7F">
              <w:rPr>
                <w:rFonts w:ascii="Times New Roman" w:hAnsi="Times New Roman" w:cs="Times New Roman"/>
                <w:b/>
                <w:bCs/>
                <w:sz w:val="20"/>
                <w:szCs w:val="20"/>
              </w:rPr>
              <w:t>Preverenie účinnosti prijatých bezpečnostných opatrení</w:t>
            </w:r>
            <w:r w:rsidR="007E6D1F" w:rsidRPr="00870D7F">
              <w:rPr>
                <w:rFonts w:ascii="Times New Roman" w:hAnsi="Times New Roman" w:cs="Times New Roman"/>
                <w:b/>
                <w:bCs/>
                <w:sz w:val="20"/>
                <w:szCs w:val="20"/>
              </w:rPr>
              <w:t>.</w:t>
            </w:r>
            <w:r w:rsidRPr="00870D7F">
              <w:rPr>
                <w:rFonts w:ascii="Times New Roman" w:hAnsi="Times New Roman" w:cs="Times New Roman"/>
                <w:b/>
                <w:bCs/>
                <w:sz w:val="20"/>
                <w:szCs w:val="20"/>
              </w:rPr>
              <w:t xml:space="preserve"> </w:t>
            </w:r>
          </w:p>
          <w:p w:rsidR="00252F43" w:rsidRPr="00870D7F" w:rsidRDefault="00252F43" w:rsidP="00D11689">
            <w:pPr>
              <w:pStyle w:val="Odsekzoznamu"/>
              <w:numPr>
                <w:ilvl w:val="0"/>
                <w:numId w:val="36"/>
              </w:numPr>
              <w:spacing w:line="240" w:lineRule="auto"/>
              <w:rPr>
                <w:rFonts w:ascii="Times New Roman" w:hAnsi="Times New Roman" w:cs="Times New Roman"/>
                <w:b/>
                <w:i/>
                <w:sz w:val="20"/>
                <w:szCs w:val="20"/>
                <w:u w:val="single"/>
              </w:rPr>
            </w:pPr>
            <w:r w:rsidRPr="00870D7F">
              <w:rPr>
                <w:rFonts w:ascii="Times New Roman" w:hAnsi="Times New Roman" w:cs="Times New Roman"/>
                <w:b/>
                <w:sz w:val="20"/>
                <w:szCs w:val="20"/>
              </w:rPr>
              <w:t>Povinnosť podrobiť sa auditu kybernetickej bezpečnosti.</w:t>
            </w:r>
          </w:p>
          <w:p w:rsidR="00252F43" w:rsidRPr="00870D7F" w:rsidRDefault="00252F43" w:rsidP="008A6C94">
            <w:pPr>
              <w:autoSpaceDN w:val="0"/>
              <w:spacing w:after="160"/>
              <w:jc w:val="both"/>
              <w:textAlignment w:val="baseline"/>
              <w:rPr>
                <w:b/>
              </w:rPr>
            </w:pPr>
            <w:r w:rsidRPr="00870D7F">
              <w:rPr>
                <w:b/>
              </w:rPr>
              <w:t xml:space="preserve">V návrhu možno vyzdvihnúť propodnikateľské opatrenia, a to: </w:t>
            </w:r>
          </w:p>
          <w:p w:rsidR="00252F43" w:rsidRPr="00870D7F" w:rsidRDefault="00252F43" w:rsidP="008A6C94">
            <w:pPr>
              <w:jc w:val="both"/>
              <w:rPr>
                <w:b/>
              </w:rPr>
            </w:pPr>
            <w:r w:rsidRPr="00870D7F">
              <w:rPr>
                <w:b/>
              </w:rPr>
              <w:t>Na základe vymedzenej spolupráce medzi kompetentnými orgánmi sa oznamovanie incidentov na úseku kybernetickej bezpečnosti, ochrany osobných údajov a úseku elektronických komunikácii navrh</w:t>
            </w:r>
            <w:r w:rsidR="00017FDA" w:rsidRPr="00870D7F">
              <w:rPr>
                <w:b/>
              </w:rPr>
              <w:t>uje realizovať prostredníctvom J</w:t>
            </w:r>
            <w:r w:rsidRPr="00870D7F">
              <w:rPr>
                <w:b/>
              </w:rPr>
              <w:t>ednotného informačného systému kybernetickej bezpečnosti. Uvedenou úpravou sa zaistí systematický zber a následné vyhodnocovanie incidentov, ktoré majú vplyv na kybernetickú bezpečnosť</w:t>
            </w:r>
            <w:r w:rsidR="00017FDA" w:rsidRPr="00870D7F">
              <w:rPr>
                <w:b/>
              </w:rPr>
              <w:t xml:space="preserve"> a teda na podnikateľské prostredie ako také.</w:t>
            </w:r>
          </w:p>
          <w:p w:rsidR="00252F43" w:rsidRPr="00870D7F" w:rsidRDefault="00252F43" w:rsidP="008A6C94">
            <w:pPr>
              <w:rPr>
                <w:b/>
                <w:i/>
              </w:rPr>
            </w:pPr>
          </w:p>
          <w:p w:rsidR="00252F43" w:rsidRPr="00870D7F" w:rsidRDefault="00252F43" w:rsidP="008A6C94">
            <w:pPr>
              <w:rPr>
                <w:b/>
              </w:rPr>
            </w:pPr>
            <w:r w:rsidRPr="00870D7F">
              <w:rPr>
                <w:b/>
              </w:rPr>
              <w:t>Reguláciou navrhované administratívne opatrenia predstavujú zvýšené náklady pre PZS a PDS  na základe prepočtov cez kalkulačku nákladov:</w:t>
            </w:r>
          </w:p>
          <w:p w:rsidR="00017FDA" w:rsidRPr="00870D7F" w:rsidRDefault="00017FDA" w:rsidP="008A6C94">
            <w:pPr>
              <w:rPr>
                <w:b/>
              </w:rPr>
            </w:pPr>
          </w:p>
          <w:p w:rsidR="00252F43" w:rsidRPr="00870D7F" w:rsidRDefault="00F74260" w:rsidP="008A6C94">
            <w:pPr>
              <w:rPr>
                <w:rStyle w:val="Hypertextovprepojenie"/>
                <w:lang w:eastAsia="en-US"/>
              </w:rPr>
            </w:pPr>
            <w:hyperlink r:id="rId12" w:history="1">
              <w:r w:rsidR="00252F43" w:rsidRPr="00870D7F">
                <w:rPr>
                  <w:rStyle w:val="Hypertextovprepojenie"/>
                  <w:lang w:eastAsia="en-US"/>
                </w:rPr>
                <w:t>http://www.economy.gov.sk/ext_dok-kalkulacka-nakladov-regulacie_final_uzamknuta/147367c</w:t>
              </w:r>
            </w:hyperlink>
          </w:p>
          <w:p w:rsidR="00017FDA" w:rsidRPr="00870D7F" w:rsidRDefault="00017FDA" w:rsidP="008A6C94">
            <w:pPr>
              <w:rPr>
                <w:rStyle w:val="Hypertextovprepojenie"/>
                <w:lang w:eastAsia="en-US"/>
              </w:rPr>
            </w:pPr>
          </w:p>
          <w:p w:rsidR="00252F43" w:rsidRPr="00870D7F" w:rsidRDefault="00252F43" w:rsidP="008A6C94">
            <w:pPr>
              <w:rPr>
                <w:b/>
              </w:rPr>
            </w:pPr>
            <w:r w:rsidRPr="00870D7F">
              <w:rPr>
                <w:b/>
              </w:rPr>
              <w:t xml:space="preserve">vo výške cca </w:t>
            </w:r>
            <w:r w:rsidR="00017FDA" w:rsidRPr="00870D7F">
              <w:rPr>
                <w:b/>
                <w:bCs/>
              </w:rPr>
              <w:t>3566,300</w:t>
            </w:r>
            <w:r w:rsidR="00017FDA" w:rsidRPr="00870D7F">
              <w:rPr>
                <w:b/>
              </w:rPr>
              <w:t xml:space="preserve"> eur </w:t>
            </w:r>
            <w:r w:rsidRPr="00870D7F">
              <w:rPr>
                <w:b/>
              </w:rPr>
              <w:t>na jedného podnikateľa a </w:t>
            </w:r>
            <w:r w:rsidR="00017FDA" w:rsidRPr="00870D7F">
              <w:rPr>
                <w:b/>
                <w:bCs/>
              </w:rPr>
              <w:t>563475,400</w:t>
            </w:r>
            <w:r w:rsidR="00017FDA" w:rsidRPr="00870D7F">
              <w:rPr>
                <w:b/>
              </w:rPr>
              <w:t xml:space="preserve"> eur </w:t>
            </w:r>
            <w:r w:rsidRPr="00870D7F">
              <w:rPr>
                <w:b/>
              </w:rPr>
              <w:t>na cele podnikateľské prostredie.</w:t>
            </w:r>
          </w:p>
          <w:p w:rsidR="00252F43" w:rsidRPr="00870D7F" w:rsidRDefault="00252F43" w:rsidP="00017FDA">
            <w:pPr>
              <w:rPr>
                <w:b/>
                <w:i/>
              </w:rPr>
            </w:pPr>
          </w:p>
        </w:tc>
      </w:tr>
      <w:tr w:rsidR="00252F43" w:rsidRPr="00870D7F" w:rsidTr="003F0E82">
        <w:trPr>
          <w:trHeight w:val="2318"/>
        </w:trPr>
        <w:tc>
          <w:tcPr>
            <w:tcW w:w="9062" w:type="dxa"/>
            <w:tcBorders>
              <w:bottom w:val="single" w:sz="4" w:space="0" w:color="auto"/>
            </w:tcBorders>
          </w:tcPr>
          <w:p w:rsidR="00252F43" w:rsidRPr="00870D7F" w:rsidRDefault="00252F43" w:rsidP="008A6C94">
            <w:pPr>
              <w:rPr>
                <w:i/>
              </w:rPr>
            </w:pPr>
            <w:r w:rsidRPr="00870D7F">
              <w:rPr>
                <w:b/>
                <w:i/>
              </w:rPr>
              <w:lastRenderedPageBreak/>
              <w:t>3.3.4 Súhrnná tabuľka nákladov regulácie</w:t>
            </w:r>
          </w:p>
          <w:p w:rsidR="00252F43" w:rsidRPr="00870D7F" w:rsidRDefault="00252F43" w:rsidP="008A6C94">
            <w:pPr>
              <w:rPr>
                <w:i/>
              </w:rPr>
            </w:pPr>
          </w:p>
          <w:tbl>
            <w:tblPr>
              <w:tblStyle w:val="Mriekatabuky"/>
              <w:tblW w:w="0" w:type="auto"/>
              <w:tblLook w:val="04A0" w:firstRow="1" w:lastRow="0" w:firstColumn="1" w:lastColumn="0" w:noHBand="0" w:noVBand="1"/>
            </w:tblPr>
            <w:tblGrid>
              <w:gridCol w:w="2949"/>
              <w:gridCol w:w="2941"/>
              <w:gridCol w:w="2946"/>
            </w:tblGrid>
            <w:tr w:rsidR="00252F43" w:rsidRPr="00870D7F" w:rsidTr="008A6C94">
              <w:tc>
                <w:tcPr>
                  <w:tcW w:w="2993" w:type="dxa"/>
                </w:tcPr>
                <w:p w:rsidR="00252F43" w:rsidRPr="00870D7F" w:rsidRDefault="00252F43" w:rsidP="008A6C94">
                  <w:pPr>
                    <w:rPr>
                      <w:i/>
                    </w:rPr>
                  </w:pPr>
                </w:p>
              </w:tc>
              <w:tc>
                <w:tcPr>
                  <w:tcW w:w="2994" w:type="dxa"/>
                </w:tcPr>
                <w:p w:rsidR="00252F43" w:rsidRPr="00870D7F" w:rsidRDefault="00252F43" w:rsidP="008A6C94">
                  <w:pPr>
                    <w:jc w:val="center"/>
                    <w:rPr>
                      <w:i/>
                    </w:rPr>
                  </w:pPr>
                  <w:r w:rsidRPr="00870D7F">
                    <w:rPr>
                      <w:i/>
                    </w:rPr>
                    <w:t>Náklady na 1 podnikateľa</w:t>
                  </w:r>
                </w:p>
              </w:tc>
              <w:tc>
                <w:tcPr>
                  <w:tcW w:w="2994" w:type="dxa"/>
                </w:tcPr>
                <w:p w:rsidR="00252F43" w:rsidRPr="00870D7F" w:rsidRDefault="00252F43" w:rsidP="008A6C94">
                  <w:pPr>
                    <w:jc w:val="center"/>
                    <w:rPr>
                      <w:i/>
                    </w:rPr>
                  </w:pPr>
                  <w:r w:rsidRPr="00870D7F">
                    <w:rPr>
                      <w:i/>
                    </w:rPr>
                    <w:t>Náklady na celé podnikateľské prostredie</w:t>
                  </w:r>
                </w:p>
              </w:tc>
            </w:tr>
            <w:tr w:rsidR="00252F43" w:rsidRPr="00870D7F" w:rsidTr="008A6C94">
              <w:tc>
                <w:tcPr>
                  <w:tcW w:w="2993" w:type="dxa"/>
                </w:tcPr>
                <w:p w:rsidR="00252F43" w:rsidRPr="00870D7F" w:rsidRDefault="00252F43" w:rsidP="008A6C94">
                  <w:pPr>
                    <w:rPr>
                      <w:i/>
                    </w:rPr>
                  </w:pPr>
                  <w:r w:rsidRPr="00870D7F">
                    <w:rPr>
                      <w:i/>
                    </w:rPr>
                    <w:t>Priame finančné náklady</w:t>
                  </w:r>
                </w:p>
              </w:tc>
              <w:tc>
                <w:tcPr>
                  <w:tcW w:w="2994" w:type="dxa"/>
                </w:tcPr>
                <w:p w:rsidR="00252F43" w:rsidRPr="00870D7F" w:rsidRDefault="00252F43" w:rsidP="008A6C94">
                  <w:pPr>
                    <w:jc w:val="center"/>
                    <w:rPr>
                      <w:i/>
                    </w:rPr>
                  </w:pPr>
                  <w:r w:rsidRPr="00870D7F">
                    <w:rPr>
                      <w:i/>
                    </w:rPr>
                    <w:t>0</w:t>
                  </w:r>
                </w:p>
              </w:tc>
              <w:tc>
                <w:tcPr>
                  <w:tcW w:w="2994" w:type="dxa"/>
                </w:tcPr>
                <w:p w:rsidR="00252F43" w:rsidRPr="00870D7F" w:rsidRDefault="00252F43" w:rsidP="008A6C94">
                  <w:pPr>
                    <w:jc w:val="center"/>
                    <w:rPr>
                      <w:i/>
                    </w:rPr>
                  </w:pPr>
                  <w:r w:rsidRPr="00870D7F">
                    <w:rPr>
                      <w:i/>
                    </w:rPr>
                    <w:t>0</w:t>
                  </w:r>
                </w:p>
              </w:tc>
            </w:tr>
            <w:tr w:rsidR="00252F43" w:rsidRPr="00870D7F" w:rsidTr="008A6C94">
              <w:tc>
                <w:tcPr>
                  <w:tcW w:w="2993" w:type="dxa"/>
                </w:tcPr>
                <w:p w:rsidR="00252F43" w:rsidRPr="00870D7F" w:rsidRDefault="00252F43" w:rsidP="008A6C94">
                  <w:pPr>
                    <w:rPr>
                      <w:i/>
                    </w:rPr>
                  </w:pPr>
                  <w:r w:rsidRPr="00870D7F">
                    <w:rPr>
                      <w:i/>
                    </w:rPr>
                    <w:t>Nepriame finančné náklady</w:t>
                  </w:r>
                </w:p>
              </w:tc>
              <w:tc>
                <w:tcPr>
                  <w:tcW w:w="2994" w:type="dxa"/>
                </w:tcPr>
                <w:p w:rsidR="00252F43" w:rsidRPr="00870D7F" w:rsidRDefault="00252F43" w:rsidP="008A6C94">
                  <w:pPr>
                    <w:jc w:val="center"/>
                    <w:rPr>
                      <w:i/>
                    </w:rPr>
                  </w:pPr>
                  <w:r w:rsidRPr="00870D7F">
                    <w:rPr>
                      <w:i/>
                    </w:rPr>
                    <w:t>0</w:t>
                  </w:r>
                </w:p>
              </w:tc>
              <w:tc>
                <w:tcPr>
                  <w:tcW w:w="2994" w:type="dxa"/>
                </w:tcPr>
                <w:p w:rsidR="00252F43" w:rsidRPr="00870D7F" w:rsidRDefault="00252F43" w:rsidP="008A6C94">
                  <w:pPr>
                    <w:jc w:val="center"/>
                    <w:rPr>
                      <w:i/>
                    </w:rPr>
                  </w:pPr>
                  <w:r w:rsidRPr="00870D7F">
                    <w:rPr>
                      <w:i/>
                    </w:rPr>
                    <w:t>0</w:t>
                  </w:r>
                </w:p>
              </w:tc>
            </w:tr>
            <w:tr w:rsidR="00252F43" w:rsidRPr="00870D7F" w:rsidTr="008A6C94">
              <w:tc>
                <w:tcPr>
                  <w:tcW w:w="2993" w:type="dxa"/>
                </w:tcPr>
                <w:p w:rsidR="00252F43" w:rsidRPr="00870D7F" w:rsidRDefault="00252F43" w:rsidP="008A6C94">
                  <w:pPr>
                    <w:rPr>
                      <w:i/>
                    </w:rPr>
                  </w:pPr>
                  <w:r w:rsidRPr="00870D7F">
                    <w:rPr>
                      <w:i/>
                    </w:rPr>
                    <w:t>Administratívne náklady</w:t>
                  </w:r>
                </w:p>
              </w:tc>
              <w:tc>
                <w:tcPr>
                  <w:tcW w:w="2994" w:type="dxa"/>
                </w:tcPr>
                <w:p w:rsidR="00252F43" w:rsidRPr="00870D7F" w:rsidRDefault="00017FDA" w:rsidP="008A6C94">
                  <w:pPr>
                    <w:jc w:val="center"/>
                    <w:rPr>
                      <w:b/>
                      <w:i/>
                    </w:rPr>
                  </w:pPr>
                  <w:r w:rsidRPr="00870D7F">
                    <w:rPr>
                      <w:b/>
                      <w:bCs/>
                    </w:rPr>
                    <w:t>3566,300</w:t>
                  </w:r>
                </w:p>
              </w:tc>
              <w:tc>
                <w:tcPr>
                  <w:tcW w:w="2994" w:type="dxa"/>
                </w:tcPr>
                <w:p w:rsidR="00252F43" w:rsidRPr="00870D7F" w:rsidRDefault="00017FDA" w:rsidP="008A6C94">
                  <w:pPr>
                    <w:jc w:val="center"/>
                    <w:rPr>
                      <w:b/>
                      <w:i/>
                    </w:rPr>
                  </w:pPr>
                  <w:r w:rsidRPr="00870D7F">
                    <w:rPr>
                      <w:b/>
                      <w:bCs/>
                    </w:rPr>
                    <w:t>563475,400</w:t>
                  </w:r>
                </w:p>
              </w:tc>
            </w:tr>
            <w:tr w:rsidR="00252F43" w:rsidRPr="00870D7F" w:rsidTr="008A6C94">
              <w:tc>
                <w:tcPr>
                  <w:tcW w:w="2993" w:type="dxa"/>
                </w:tcPr>
                <w:p w:rsidR="00252F43" w:rsidRPr="00870D7F" w:rsidRDefault="00252F43" w:rsidP="008A6C94">
                  <w:pPr>
                    <w:rPr>
                      <w:b/>
                      <w:i/>
                    </w:rPr>
                  </w:pPr>
                  <w:r w:rsidRPr="00870D7F">
                    <w:rPr>
                      <w:b/>
                      <w:i/>
                    </w:rPr>
                    <w:t>Celkové náklady regulácie</w:t>
                  </w:r>
                </w:p>
              </w:tc>
              <w:tc>
                <w:tcPr>
                  <w:tcW w:w="2994" w:type="dxa"/>
                </w:tcPr>
                <w:p w:rsidR="00252F43" w:rsidRPr="00870D7F" w:rsidRDefault="00252F43" w:rsidP="008A6C94">
                  <w:pPr>
                    <w:jc w:val="center"/>
                    <w:rPr>
                      <w:b/>
                      <w:i/>
                    </w:rPr>
                  </w:pPr>
                  <w:r w:rsidRPr="00870D7F">
                    <w:rPr>
                      <w:b/>
                      <w:i/>
                    </w:rPr>
                    <w:t>0</w:t>
                  </w:r>
                </w:p>
              </w:tc>
              <w:tc>
                <w:tcPr>
                  <w:tcW w:w="2994" w:type="dxa"/>
                </w:tcPr>
                <w:p w:rsidR="00252F43" w:rsidRPr="00870D7F" w:rsidRDefault="00252F43" w:rsidP="008A6C94">
                  <w:pPr>
                    <w:jc w:val="center"/>
                    <w:rPr>
                      <w:b/>
                      <w:i/>
                    </w:rPr>
                  </w:pPr>
                  <w:r w:rsidRPr="00870D7F">
                    <w:rPr>
                      <w:b/>
                      <w:i/>
                    </w:rPr>
                    <w:t>0</w:t>
                  </w:r>
                </w:p>
              </w:tc>
            </w:tr>
          </w:tbl>
          <w:p w:rsidR="005A06DB" w:rsidRPr="00870D7F" w:rsidRDefault="005A06DB" w:rsidP="008A6C94">
            <w:pPr>
              <w:rPr>
                <w:i/>
              </w:rPr>
            </w:pPr>
          </w:p>
        </w:tc>
      </w:tr>
      <w:tr w:rsidR="00252F43" w:rsidRPr="00870D7F" w:rsidTr="003F0E82">
        <w:tc>
          <w:tcPr>
            <w:tcW w:w="9062" w:type="dxa"/>
            <w:shd w:val="clear" w:color="auto" w:fill="D9D9D9" w:themeFill="background1" w:themeFillShade="D9"/>
          </w:tcPr>
          <w:p w:rsidR="00252F43" w:rsidRPr="00870D7F" w:rsidRDefault="00252F43" w:rsidP="008A6C94">
            <w:pPr>
              <w:rPr>
                <w:b/>
                <w:sz w:val="24"/>
              </w:rPr>
            </w:pPr>
            <w:r w:rsidRPr="00870D7F">
              <w:rPr>
                <w:b/>
                <w:sz w:val="24"/>
              </w:rPr>
              <w:t>3.4 Konkurencieschopnosť a správanie sa podnikov na trhu</w:t>
            </w:r>
          </w:p>
          <w:p w:rsidR="00252F43" w:rsidRPr="00870D7F" w:rsidRDefault="00252F43" w:rsidP="008A6C94">
            <w:r w:rsidRPr="00870D7F">
              <w:rPr>
                <w:b/>
                <w:sz w:val="24"/>
              </w:rPr>
              <w:t xml:space="preserve">       </w:t>
            </w:r>
            <w:r w:rsidRPr="00870D7F">
              <w:rPr>
                <w:sz w:val="24"/>
              </w:rPr>
              <w:t xml:space="preserve">- </w:t>
            </w:r>
            <w:r w:rsidRPr="00870D7F">
              <w:rPr>
                <w:b/>
                <w:sz w:val="24"/>
              </w:rPr>
              <w:t>z toho MSP</w:t>
            </w:r>
          </w:p>
        </w:tc>
      </w:tr>
      <w:tr w:rsidR="00252F43" w:rsidRPr="00870D7F" w:rsidTr="003F0E82">
        <w:tc>
          <w:tcPr>
            <w:tcW w:w="9062" w:type="dxa"/>
            <w:tcBorders>
              <w:bottom w:val="single" w:sz="4" w:space="0" w:color="auto"/>
            </w:tcBorders>
          </w:tcPr>
          <w:p w:rsidR="00252F43" w:rsidRPr="00870D7F" w:rsidRDefault="00252F43" w:rsidP="008A6C94">
            <w:pPr>
              <w:rPr>
                <w:i/>
              </w:rPr>
            </w:pPr>
            <w:r w:rsidRPr="00870D7F">
              <w:rPr>
                <w:i/>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252F43" w:rsidRPr="00870D7F" w:rsidRDefault="00252F43" w:rsidP="008A6C94">
            <w:pPr>
              <w:rPr>
                <w:i/>
              </w:rPr>
            </w:pPr>
            <w:r w:rsidRPr="00870D7F">
              <w:rPr>
                <w:i/>
              </w:rPr>
              <w:t>Aký vplyv bude mať navrhovaná zmena na obchodné bariéry? Bude mať vplyv na vyvolanie cezhraničných investícií (príliv /odliv zahraničných investícií resp. uplatnenie slovenských podnikov na zahraničných trhoch)? Ak áno, popíšte.</w:t>
            </w:r>
          </w:p>
          <w:p w:rsidR="00252F43" w:rsidRPr="00870D7F" w:rsidRDefault="00252F43" w:rsidP="008A6C94">
            <w:pPr>
              <w:rPr>
                <w:i/>
              </w:rPr>
            </w:pPr>
            <w:r w:rsidRPr="00870D7F">
              <w:rPr>
                <w:i/>
              </w:rPr>
              <w:t>Ako ovplyvní cenu alebo dostupnosť základných zdrojov (suroviny, mechanizmy, pracovná sila, energie atď.)?</w:t>
            </w:r>
          </w:p>
          <w:p w:rsidR="00252F43" w:rsidRPr="00870D7F" w:rsidRDefault="00252F43" w:rsidP="008A6C94">
            <w:pPr>
              <w:rPr>
                <w:i/>
              </w:rPr>
            </w:pPr>
            <w:r w:rsidRPr="00870D7F">
              <w:rPr>
                <w:i/>
              </w:rPr>
              <w:t>Ovplyvňuje prístup k financiám? Ak áno, ako?</w:t>
            </w:r>
          </w:p>
        </w:tc>
      </w:tr>
      <w:tr w:rsidR="00252F43" w:rsidRPr="00870D7F" w:rsidTr="003F0E82">
        <w:trPr>
          <w:trHeight w:val="1282"/>
        </w:trPr>
        <w:tc>
          <w:tcPr>
            <w:tcW w:w="9062" w:type="dxa"/>
            <w:tcBorders>
              <w:bottom w:val="single" w:sz="4" w:space="0" w:color="auto"/>
            </w:tcBorders>
          </w:tcPr>
          <w:p w:rsidR="00252F43" w:rsidRPr="00870D7F" w:rsidRDefault="00252F43" w:rsidP="008A6C94">
            <w:pPr>
              <w:rPr>
                <w:i/>
              </w:rPr>
            </w:pPr>
          </w:p>
          <w:p w:rsidR="00252F43" w:rsidRPr="00870D7F" w:rsidRDefault="005A06DB" w:rsidP="008A6C94">
            <w:pPr>
              <w:jc w:val="both"/>
              <w:rPr>
                <w:b/>
              </w:rPr>
            </w:pPr>
            <w:r w:rsidRPr="00870D7F">
              <w:rPr>
                <w:b/>
              </w:rPr>
              <w:t xml:space="preserve">V záujme zaistenia konzistentného prístupu sa vymedzenie pojmu PZS a PDS jednotne uplatňuje vo všetkých členských štátoch a teda </w:t>
            </w:r>
            <w:r w:rsidR="00252F43" w:rsidRPr="00870D7F">
              <w:rPr>
                <w:b/>
              </w:rPr>
              <w:t>definícia PZS a</w:t>
            </w:r>
            <w:r w:rsidRPr="00870D7F">
              <w:rPr>
                <w:b/>
              </w:rPr>
              <w:t> </w:t>
            </w:r>
            <w:r w:rsidR="00252F43" w:rsidRPr="00870D7F">
              <w:rPr>
                <w:b/>
              </w:rPr>
              <w:t>PDS</w:t>
            </w:r>
            <w:r w:rsidRPr="00870D7F">
              <w:rPr>
                <w:b/>
              </w:rPr>
              <w:t xml:space="preserve"> uvedená v návrhu zákona</w:t>
            </w:r>
            <w:r w:rsidR="00252F43" w:rsidRPr="00870D7F">
              <w:rPr>
                <w:b/>
              </w:rPr>
              <w:t xml:space="preserve"> vychádza zo smernice NIS, podľa ktorej sú členské štáty zodpovedné za určenie subjektov. Následne sa definujú základné povinnosti PZS a PDS na zaistenie kybernetickej bezpečnosti. Návrh zákona bude mať preto rovnaký vplyv na všetky dotknuté subjekty, t. j. na všetky subjekty sa budú ustanovené povinnosti vzťahovať </w:t>
            </w:r>
            <w:r w:rsidRPr="00870D7F">
              <w:rPr>
                <w:b/>
              </w:rPr>
              <w:t>bezrozdielne</w:t>
            </w:r>
            <w:r w:rsidR="00252F43" w:rsidRPr="00870D7F">
              <w:rPr>
                <w:b/>
              </w:rPr>
              <w:t>.</w:t>
            </w:r>
          </w:p>
          <w:p w:rsidR="00252F43" w:rsidRPr="00870D7F" w:rsidRDefault="00252F43" w:rsidP="008A6C94">
            <w:pPr>
              <w:jc w:val="both"/>
              <w:rPr>
                <w:i/>
              </w:rPr>
            </w:pPr>
          </w:p>
        </w:tc>
      </w:tr>
      <w:tr w:rsidR="00252F43" w:rsidRPr="00870D7F" w:rsidTr="003F0E82">
        <w:tc>
          <w:tcPr>
            <w:tcW w:w="9062" w:type="dxa"/>
            <w:shd w:val="clear" w:color="auto" w:fill="D9D9D9" w:themeFill="background1" w:themeFillShade="D9"/>
          </w:tcPr>
          <w:p w:rsidR="00252F43" w:rsidRPr="00870D7F" w:rsidRDefault="00252F43" w:rsidP="008A6C94">
            <w:pPr>
              <w:rPr>
                <w:b/>
                <w:sz w:val="24"/>
              </w:rPr>
            </w:pPr>
            <w:r w:rsidRPr="00870D7F">
              <w:rPr>
                <w:b/>
                <w:sz w:val="24"/>
              </w:rPr>
              <w:t xml:space="preserve">3.5 Inovácie </w:t>
            </w:r>
          </w:p>
          <w:p w:rsidR="00252F43" w:rsidRPr="00870D7F" w:rsidRDefault="00D60196" w:rsidP="008A6C94">
            <w:pPr>
              <w:rPr>
                <w:b/>
              </w:rPr>
            </w:pPr>
            <w:r>
              <w:rPr>
                <w:sz w:val="24"/>
              </w:rPr>
              <w:t xml:space="preserve">      </w:t>
            </w:r>
            <w:r w:rsidR="00252F43" w:rsidRPr="00870D7F">
              <w:rPr>
                <w:sz w:val="24"/>
              </w:rPr>
              <w:t xml:space="preserve">- </w:t>
            </w:r>
            <w:r w:rsidR="00252F43" w:rsidRPr="00870D7F">
              <w:rPr>
                <w:b/>
                <w:sz w:val="24"/>
              </w:rPr>
              <w:t>z toho MSP</w:t>
            </w:r>
          </w:p>
        </w:tc>
      </w:tr>
      <w:tr w:rsidR="00252F43" w:rsidRPr="00870D7F" w:rsidTr="003F0E82">
        <w:tc>
          <w:tcPr>
            <w:tcW w:w="9062" w:type="dxa"/>
          </w:tcPr>
          <w:p w:rsidR="00252F43" w:rsidRPr="00870D7F" w:rsidRDefault="00252F43" w:rsidP="008A6C94">
            <w:pPr>
              <w:rPr>
                <w:i/>
              </w:rPr>
            </w:pPr>
            <w:r w:rsidRPr="00870D7F">
              <w:rPr>
                <w:i/>
              </w:rPr>
              <w:t>Uveďte, ako podporuje navrhovaná zmena inovácie.</w:t>
            </w:r>
          </w:p>
          <w:p w:rsidR="00252F43" w:rsidRPr="00870D7F" w:rsidRDefault="00252F43" w:rsidP="008A6C94">
            <w:pPr>
              <w:rPr>
                <w:i/>
              </w:rPr>
            </w:pPr>
            <w:r w:rsidRPr="00870D7F">
              <w:rPr>
                <w:i/>
              </w:rPr>
              <w:t>Zjednodušuje uvedenie alebo rozšírenie nových výrobných metód, technológií a výrobkov na trh?</w:t>
            </w:r>
          </w:p>
          <w:p w:rsidR="00252F43" w:rsidRPr="00870D7F" w:rsidRDefault="00252F43" w:rsidP="008A6C94">
            <w:pPr>
              <w:rPr>
                <w:i/>
              </w:rPr>
            </w:pPr>
            <w:r w:rsidRPr="00870D7F">
              <w:rPr>
                <w:i/>
              </w:rPr>
              <w:t>Uveďte, ako vplýva navrhovaná zmena na jednotlivé práva duševného vlastníctva (napr. patenty, ochranné známky, autorské práva, vlastníctvo know-how).</w:t>
            </w:r>
          </w:p>
          <w:p w:rsidR="00252F43" w:rsidRPr="00870D7F" w:rsidRDefault="00252F43" w:rsidP="008A6C94">
            <w:pPr>
              <w:rPr>
                <w:i/>
              </w:rPr>
            </w:pPr>
            <w:r w:rsidRPr="00870D7F">
              <w:rPr>
                <w:i/>
              </w:rPr>
              <w:t>Podporuje vyššiu efektivitu výroby/využívania zdrojov? Ak áno, ako?</w:t>
            </w:r>
          </w:p>
          <w:p w:rsidR="00252F43" w:rsidRPr="00870D7F" w:rsidRDefault="00252F43" w:rsidP="008A6C94">
            <w:r w:rsidRPr="00870D7F">
              <w:rPr>
                <w:i/>
              </w:rPr>
              <w:t>Vytvorí zmena nové pracovné miesta pre zamestnancov výskumu a vývoja v SR?</w:t>
            </w:r>
          </w:p>
        </w:tc>
      </w:tr>
      <w:tr w:rsidR="00252F43" w:rsidRPr="00870D7F" w:rsidTr="003F0E82">
        <w:trPr>
          <w:trHeight w:val="1747"/>
        </w:trPr>
        <w:tc>
          <w:tcPr>
            <w:tcW w:w="9062" w:type="dxa"/>
          </w:tcPr>
          <w:p w:rsidR="00252F43" w:rsidRPr="00870D7F" w:rsidRDefault="00252F43" w:rsidP="008A6C94">
            <w:pPr>
              <w:rPr>
                <w:i/>
              </w:rPr>
            </w:pPr>
          </w:p>
          <w:p w:rsidR="00252F43" w:rsidRPr="00870D7F" w:rsidRDefault="00252F43" w:rsidP="008A6C94">
            <w:pPr>
              <w:rPr>
                <w:i/>
              </w:rPr>
            </w:pPr>
            <w:r w:rsidRPr="00870D7F">
              <w:rPr>
                <w:b/>
              </w:rPr>
              <w:t>Návrh nemá vplyv na inovácie.</w:t>
            </w:r>
          </w:p>
        </w:tc>
      </w:tr>
    </w:tbl>
    <w:p w:rsidR="00252F43" w:rsidRPr="00870D7F" w:rsidRDefault="00252F43" w:rsidP="00252F43"/>
    <w:p w:rsidR="00252F43" w:rsidRPr="00870D7F" w:rsidRDefault="00252F43" w:rsidP="00252F43"/>
    <w:p w:rsidR="00252F43" w:rsidRPr="00870D7F" w:rsidRDefault="00252F43" w:rsidP="00252F43"/>
    <w:p w:rsidR="00252F43" w:rsidRPr="00870D7F" w:rsidRDefault="00252F43" w:rsidP="00252F43"/>
    <w:p w:rsidR="00252F43" w:rsidRPr="00870D7F" w:rsidRDefault="00252F43" w:rsidP="00252F43"/>
    <w:p w:rsidR="00252F43" w:rsidRPr="00870D7F" w:rsidRDefault="00252F43" w:rsidP="00252F43"/>
    <w:p w:rsidR="009E7470" w:rsidRDefault="009E7470" w:rsidP="001B558E">
      <w:pPr>
        <w:rPr>
          <w:b/>
          <w:sz w:val="24"/>
        </w:rPr>
      </w:pPr>
    </w:p>
    <w:p w:rsidR="009A653C" w:rsidRDefault="009A653C" w:rsidP="001B558E">
      <w:pPr>
        <w:rPr>
          <w:b/>
          <w:sz w:val="24"/>
        </w:rPr>
      </w:pPr>
    </w:p>
    <w:p w:rsidR="009A653C" w:rsidRDefault="009A653C" w:rsidP="001B558E">
      <w:pPr>
        <w:rPr>
          <w:b/>
          <w:sz w:val="24"/>
        </w:rPr>
      </w:pPr>
    </w:p>
    <w:p w:rsidR="009A653C" w:rsidRDefault="009A653C" w:rsidP="001B558E">
      <w:pPr>
        <w:rPr>
          <w:b/>
          <w:sz w:val="24"/>
        </w:rPr>
      </w:pPr>
    </w:p>
    <w:p w:rsidR="009A653C" w:rsidRDefault="009A653C" w:rsidP="001B558E">
      <w:pPr>
        <w:rPr>
          <w:b/>
          <w:sz w:val="24"/>
        </w:rPr>
      </w:pPr>
    </w:p>
    <w:p w:rsidR="009A653C" w:rsidRDefault="009A653C" w:rsidP="001B558E">
      <w:pPr>
        <w:rPr>
          <w:b/>
          <w:sz w:val="24"/>
        </w:rPr>
      </w:pPr>
    </w:p>
    <w:p w:rsidR="009A653C" w:rsidRDefault="009A653C" w:rsidP="001B558E">
      <w:pPr>
        <w:rPr>
          <w:b/>
          <w:sz w:val="24"/>
        </w:rPr>
      </w:pPr>
    </w:p>
    <w:p w:rsidR="009A653C" w:rsidRDefault="009A653C" w:rsidP="001B558E">
      <w:pPr>
        <w:rPr>
          <w:b/>
          <w:sz w:val="24"/>
        </w:rPr>
      </w:pPr>
    </w:p>
    <w:p w:rsidR="009A653C" w:rsidRDefault="009A653C" w:rsidP="001B558E">
      <w:pPr>
        <w:rPr>
          <w:b/>
          <w:sz w:val="24"/>
        </w:rPr>
      </w:pPr>
    </w:p>
    <w:p w:rsidR="009A653C" w:rsidRDefault="009A653C" w:rsidP="001B558E">
      <w:pPr>
        <w:rPr>
          <w:b/>
          <w:sz w:val="24"/>
        </w:rPr>
      </w:pPr>
    </w:p>
    <w:p w:rsidR="009A653C" w:rsidRDefault="009A653C" w:rsidP="001B558E">
      <w:pPr>
        <w:rPr>
          <w:b/>
          <w:sz w:val="24"/>
        </w:rPr>
      </w:pPr>
    </w:p>
    <w:p w:rsidR="009A653C" w:rsidRDefault="009A653C" w:rsidP="001B558E">
      <w:pPr>
        <w:rPr>
          <w:b/>
          <w:sz w:val="24"/>
        </w:rPr>
      </w:pPr>
    </w:p>
    <w:p w:rsidR="009A653C" w:rsidRDefault="009A653C" w:rsidP="001B558E">
      <w:pPr>
        <w:rPr>
          <w:b/>
          <w:sz w:val="24"/>
        </w:rPr>
      </w:pPr>
    </w:p>
    <w:p w:rsidR="009A653C" w:rsidRDefault="009A653C" w:rsidP="001B558E">
      <w:pPr>
        <w:rPr>
          <w:b/>
          <w:sz w:val="24"/>
        </w:rPr>
      </w:pPr>
    </w:p>
    <w:p w:rsidR="009A653C" w:rsidRDefault="009A653C" w:rsidP="001B558E">
      <w:pPr>
        <w:rPr>
          <w:b/>
          <w:sz w:val="24"/>
        </w:rPr>
      </w:pPr>
    </w:p>
    <w:p w:rsidR="009A653C" w:rsidRDefault="009A653C" w:rsidP="001B558E">
      <w:pPr>
        <w:rPr>
          <w:b/>
          <w:sz w:val="24"/>
        </w:rPr>
      </w:pPr>
    </w:p>
    <w:p w:rsidR="009A653C" w:rsidRDefault="009A653C" w:rsidP="001B558E">
      <w:pPr>
        <w:rPr>
          <w:b/>
          <w:sz w:val="24"/>
        </w:rPr>
      </w:pPr>
    </w:p>
    <w:p w:rsidR="009A653C" w:rsidRDefault="009A653C" w:rsidP="009A653C">
      <w:pPr>
        <w:jc w:val="center"/>
      </w:pPr>
      <w:r w:rsidRPr="004161A1">
        <w:rPr>
          <w:b/>
          <w:bCs/>
          <w:sz w:val="28"/>
          <w:szCs w:val="28"/>
        </w:rPr>
        <w:t>Metodický postup pre analýzu vplyvov na rozpočet ver</w:t>
      </w:r>
      <w:r>
        <w:rPr>
          <w:b/>
          <w:bCs/>
          <w:sz w:val="28"/>
          <w:szCs w:val="28"/>
        </w:rPr>
        <w:t>ejnej správy, </w:t>
      </w:r>
      <w:r w:rsidRPr="004161A1">
        <w:rPr>
          <w:b/>
          <w:bCs/>
          <w:sz w:val="28"/>
          <w:szCs w:val="28"/>
        </w:rPr>
        <w:t>na zamestnanosť vo verejnej správe a financovanie návrhu</w:t>
      </w:r>
    </w:p>
    <w:p w:rsidR="009A653C" w:rsidRDefault="009A653C" w:rsidP="009A653C">
      <w:pPr>
        <w:ind w:firstLine="720"/>
      </w:pPr>
      <w:r>
        <w:t> </w:t>
      </w:r>
    </w:p>
    <w:p w:rsidR="009A653C" w:rsidRDefault="009A653C" w:rsidP="009A653C">
      <w:r>
        <w:t> </w:t>
      </w:r>
    </w:p>
    <w:p w:rsidR="009A653C" w:rsidRDefault="009A653C" w:rsidP="009A653C">
      <w:r w:rsidRPr="004161A1">
        <w:rPr>
          <w:b/>
          <w:bCs/>
        </w:rPr>
        <w:t>2.1. Zhrnutie vplyvov na rozpočet verejnej správy v návrhu</w:t>
      </w:r>
    </w:p>
    <w:p w:rsidR="009A653C" w:rsidRDefault="009A653C" w:rsidP="009A653C">
      <w:r>
        <w:t> </w:t>
      </w:r>
    </w:p>
    <w:p w:rsidR="009A653C" w:rsidRDefault="009A653C" w:rsidP="009A653C">
      <w:pPr>
        <w:ind w:firstLine="708"/>
        <w:jc w:val="both"/>
      </w:pPr>
      <w:r>
        <w:t>Predkladateľ: Vypĺňa informácie v tabuľkách č. 1 a č. 2 na základe detailných informácií o príjmoch, výdavkoch a financovaní, uvedených v tabuľkách č. 4 až č. 6. Súhrn by mal byť vypracovaný, až keď sú vyplnené všetky ostatné časti prílohy č. 13.a. V prípade potreby je možné vložiť ďalšie riadky do tabuľky č. 1, aby boli zaradené všetky subjekty verejnej správy, na ktoré má návrh vplyv.</w:t>
      </w:r>
    </w:p>
    <w:p w:rsidR="009A653C" w:rsidRDefault="009A653C" w:rsidP="009A653C">
      <w:pPr>
        <w:ind w:firstLine="708"/>
        <w:jc w:val="both"/>
      </w:pPr>
      <w:r>
        <w:t> </w:t>
      </w:r>
    </w:p>
    <w:p w:rsidR="009A653C" w:rsidRDefault="009A653C" w:rsidP="009A653C">
      <w:pPr>
        <w:jc w:val="both"/>
      </w:pPr>
      <w:r w:rsidRPr="004161A1">
        <w:rPr>
          <w:b/>
          <w:bCs/>
        </w:rPr>
        <w:t>2.2. Financovanie návrhu</w:t>
      </w:r>
    </w:p>
    <w:p w:rsidR="009A653C" w:rsidRDefault="009A653C" w:rsidP="009A653C">
      <w:pPr>
        <w:jc w:val="both"/>
      </w:pPr>
      <w:r w:rsidRPr="004161A1">
        <w:rPr>
          <w:i/>
          <w:iCs/>
        </w:rPr>
        <w:t> </w:t>
      </w:r>
    </w:p>
    <w:p w:rsidR="009A653C" w:rsidRDefault="009A653C" w:rsidP="009A653C">
      <w:pPr>
        <w:ind w:firstLine="708"/>
        <w:jc w:val="both"/>
      </w:pPr>
      <w:r>
        <w:t>Posledným krokom v procese posudzovania vplyvov na rozpočet verejnej správy je uviesť, aká časť tohto vplyvu si vyžiada zmeny rozpočtu verejnej správy. V niektorých prípadoch by bolo možné náklady návrhu zvažovať v priebehu rozpočtového procesu a zahrnúť potrebné výdavky (aspoň čiastočne) do rozpočtu alebo strednodobého rozpočtového rámca. Rovnako sa môžu na financovanie politík použiť iné ako rozpočtové zdroje, napr. granty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rsidR="009A653C" w:rsidRDefault="009A653C" w:rsidP="009A653C">
      <w:pPr>
        <w:jc w:val="both"/>
      </w:pPr>
      <w:r>
        <w:t> </w:t>
      </w:r>
    </w:p>
    <w:p w:rsidR="009A653C" w:rsidRDefault="009A653C" w:rsidP="009A653C">
      <w:pPr>
        <w:ind w:firstLine="708"/>
        <w:jc w:val="both"/>
      </w:pPr>
      <w:r>
        <w:t>MF SR: 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rsidR="009A653C" w:rsidRDefault="009A653C" w:rsidP="009A653C">
      <w:pPr>
        <w:jc w:val="both"/>
      </w:pPr>
      <w:r w:rsidRPr="004161A1">
        <w:rPr>
          <w:b/>
          <w:bCs/>
        </w:rPr>
        <w:t> </w:t>
      </w:r>
    </w:p>
    <w:p w:rsidR="009A653C" w:rsidRDefault="009A653C" w:rsidP="009A653C">
      <w:pPr>
        <w:jc w:val="both"/>
      </w:pPr>
      <w:r w:rsidRPr="004161A1">
        <w:rPr>
          <w:b/>
          <w:bCs/>
        </w:rPr>
        <w:t>Vyplnenie časti 2.3. Popis a charakteristika  návrhu</w:t>
      </w:r>
    </w:p>
    <w:p w:rsidR="009A653C" w:rsidRDefault="009A653C" w:rsidP="009A653C">
      <w:r w:rsidRPr="004161A1">
        <w:rPr>
          <w:b/>
          <w:bCs/>
        </w:rPr>
        <w:t> </w:t>
      </w:r>
    </w:p>
    <w:p w:rsidR="009A653C" w:rsidRDefault="009A653C" w:rsidP="009A653C">
      <w:r w:rsidRPr="004161A1">
        <w:rPr>
          <w:b/>
          <w:bCs/>
        </w:rPr>
        <w:t>2.3.1. Popis návrhu</w:t>
      </w:r>
    </w:p>
    <w:p w:rsidR="009A653C" w:rsidRDefault="009A653C" w:rsidP="009A653C">
      <w:r>
        <w:t> </w:t>
      </w:r>
    </w:p>
    <w:p w:rsidR="009A653C" w:rsidRDefault="009A653C" w:rsidP="009A653C">
      <w:pPr>
        <w:jc w:val="both"/>
      </w:pPr>
      <w:r>
        <w:t>              Pre úplnosť sa táto časť zakomponováva aj do prílohy č. 13.a, aj keď proces pripomienkového konania si môže vyžadovať takýto popis uvádzať samostatne v niektorej z iných častí predkladaného návrhu.</w:t>
      </w:r>
    </w:p>
    <w:p w:rsidR="009A653C" w:rsidRDefault="009A653C" w:rsidP="009A653C">
      <w:r>
        <w:t> </w:t>
      </w:r>
    </w:p>
    <w:p w:rsidR="009A653C" w:rsidRDefault="009A653C" w:rsidP="009A653C">
      <w:pPr>
        <w:ind w:firstLine="708"/>
        <w:jc w:val="both"/>
      </w:pPr>
      <w:r>
        <w:t>Predkladateľ: V príslušnej časti (podľa potreby je možné rozšíriť) popíše predkladateľ svoj návrh. Popis by mal umožniť dotknutým subjektom identifikáciu svojich konkrétnych aktivít a ich vplyvov na vlastný rozpočet. Popis by mal obsahovať:</w:t>
      </w:r>
    </w:p>
    <w:p w:rsidR="009A653C" w:rsidRDefault="009A653C" w:rsidP="009A653C">
      <w:r w:rsidRPr="004161A1">
        <w:rPr>
          <w:i/>
          <w:iCs/>
        </w:rPr>
        <w:t> </w:t>
      </w:r>
    </w:p>
    <w:p w:rsidR="009A653C" w:rsidRDefault="009A653C" w:rsidP="009A653C">
      <w:pPr>
        <w:ind w:left="720" w:hanging="360"/>
        <w:jc w:val="both"/>
      </w:pPr>
      <w:r w:rsidRPr="004161A1">
        <w:rPr>
          <w:rFonts w:ascii="Symbol" w:hAnsi="Symbol"/>
        </w:rPr>
        <w:t></w:t>
      </w:r>
      <w:r w:rsidRPr="004161A1">
        <w:rPr>
          <w:sz w:val="14"/>
          <w:szCs w:val="14"/>
        </w:rPr>
        <w:t xml:space="preserve">        </w:t>
      </w:r>
      <w:r w:rsidRPr="004161A1">
        <w:rPr>
          <w:i/>
          <w:iCs/>
        </w:rPr>
        <w:t>Akú problematiku návrhu rieši?</w:t>
      </w:r>
      <w:r>
        <w:t xml:space="preserve"> Jasne definovať problematiku a vysvetliť, ako ju návrh rieši. Uviesť aj iné alternatívy, o ktorých sa uvažovalo a prečo boli vylúčené. </w:t>
      </w:r>
    </w:p>
    <w:p w:rsidR="009A653C" w:rsidRDefault="009A653C" w:rsidP="009A653C">
      <w:pPr>
        <w:ind w:left="720" w:hanging="360"/>
        <w:jc w:val="both"/>
      </w:pPr>
      <w:r w:rsidRPr="004161A1">
        <w:rPr>
          <w:rFonts w:ascii="Symbol" w:hAnsi="Symbol"/>
        </w:rPr>
        <w:t></w:t>
      </w:r>
      <w:r w:rsidRPr="004161A1">
        <w:rPr>
          <w:sz w:val="14"/>
          <w:szCs w:val="14"/>
        </w:rPr>
        <w:t xml:space="preserve">        </w:t>
      </w:r>
      <w:r w:rsidRPr="004161A1">
        <w:rPr>
          <w:i/>
          <w:iCs/>
        </w:rPr>
        <w:t>Kto (aká organizácia) bude implementovať návrh?</w:t>
      </w:r>
      <w:r>
        <w:t xml:space="preserve"> Popíšte jednotlivé úlohy rôznych organizácií.</w:t>
      </w:r>
    </w:p>
    <w:p w:rsidR="009A653C" w:rsidRDefault="009A653C" w:rsidP="009A653C">
      <w:pPr>
        <w:numPr>
          <w:ilvl w:val="0"/>
          <w:numId w:val="37"/>
        </w:numPr>
        <w:jc w:val="both"/>
      </w:pPr>
      <w:r w:rsidRPr="004161A1">
        <w:rPr>
          <w:i/>
          <w:iCs/>
        </w:rPr>
        <w:t>Kde sa budú poskytovať výkony verejnej správy?</w:t>
      </w:r>
      <w:r>
        <w:t xml:space="preserve"> Budú sa poskytovať celonárodne alebo regionálne? Koľko subjektov môže poskytnúť daný tovar / službu?</w:t>
      </w:r>
    </w:p>
    <w:p w:rsidR="009A653C" w:rsidRDefault="009A653C" w:rsidP="009A653C">
      <w:pPr>
        <w:ind w:left="360"/>
        <w:jc w:val="both"/>
      </w:pPr>
      <w:r>
        <w:t> </w:t>
      </w:r>
    </w:p>
    <w:p w:rsidR="009A653C" w:rsidRDefault="009A653C" w:rsidP="009A653C">
      <w:pPr>
        <w:ind w:firstLine="708"/>
        <w:jc w:val="both"/>
      </w:pPr>
      <w:r>
        <w:t> </w:t>
      </w:r>
    </w:p>
    <w:p w:rsidR="009A653C" w:rsidRDefault="009A653C" w:rsidP="009A653C">
      <w:pPr>
        <w:rPr>
          <w:b/>
          <w:bCs/>
        </w:rPr>
      </w:pPr>
    </w:p>
    <w:p w:rsidR="009A653C" w:rsidRDefault="009A653C" w:rsidP="009A653C">
      <w:r w:rsidRPr="004161A1">
        <w:rPr>
          <w:b/>
          <w:bCs/>
        </w:rPr>
        <w:t>2.3.2. Charakteristika návrhu</w:t>
      </w:r>
    </w:p>
    <w:p w:rsidR="009A653C" w:rsidRDefault="009A653C" w:rsidP="009A653C">
      <w:r>
        <w:t> </w:t>
      </w:r>
    </w:p>
    <w:p w:rsidR="009A653C" w:rsidRDefault="009A653C" w:rsidP="009A653C">
      <w:pPr>
        <w:ind w:firstLine="708"/>
        <w:jc w:val="both"/>
      </w:pPr>
      <w:r>
        <w:t>Predkladateľ: Charakterizuje návrh na základe uvedených kategórií. Táto charakteristika by mala napomôcť ostatným dotknutým subjektom pochopiť podstatu návrhu a uľahčiť tým pripomienkovanie doložky.  Jednotlivé druhy návrhov sú detailne popísané nižšie:</w:t>
      </w:r>
    </w:p>
    <w:p w:rsidR="009A653C" w:rsidRDefault="009A653C" w:rsidP="009A653C">
      <w:pPr>
        <w:jc w:val="both"/>
      </w:pPr>
      <w:r>
        <w:t> </w:t>
      </w:r>
    </w:p>
    <w:p w:rsidR="009A653C" w:rsidRPr="004161A1" w:rsidRDefault="009A653C" w:rsidP="009A653C">
      <w:pPr>
        <w:ind w:left="720" w:hanging="360"/>
        <w:jc w:val="both"/>
        <w:outlineLvl w:val="3"/>
        <w:rPr>
          <w:b/>
          <w:bCs/>
        </w:rPr>
      </w:pPr>
      <w:r w:rsidRPr="004161A1">
        <w:rPr>
          <w:rFonts w:ascii="Symbol" w:hAnsi="Symbol"/>
          <w:b/>
          <w:bCs/>
        </w:rPr>
        <w:lastRenderedPageBreak/>
        <w:t></w:t>
      </w:r>
      <w:r w:rsidRPr="004161A1">
        <w:rPr>
          <w:b/>
          <w:bCs/>
          <w:sz w:val="14"/>
          <w:szCs w:val="14"/>
        </w:rPr>
        <w:t xml:space="preserve">        </w:t>
      </w:r>
      <w:r w:rsidRPr="004161A1">
        <w:rPr>
          <w:b/>
          <w:bCs/>
          <w:i/>
          <w:iCs/>
        </w:rPr>
        <w:t>zmena sadzby</w:t>
      </w:r>
      <w:r w:rsidRPr="004161A1">
        <w:rPr>
          <w:rFonts w:ascii="Verdana" w:hAnsi="Verdana"/>
        </w:rPr>
        <w:t xml:space="preserve"> – </w:t>
      </w:r>
      <w:r>
        <w:t xml:space="preserve">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                                                   </w:t>
      </w:r>
    </w:p>
    <w:p w:rsidR="009A653C" w:rsidRPr="004161A1" w:rsidRDefault="009A653C" w:rsidP="009A653C">
      <w:pPr>
        <w:ind w:left="708"/>
        <w:jc w:val="both"/>
        <w:outlineLvl w:val="3"/>
        <w:rPr>
          <w:b/>
          <w:bCs/>
        </w:rPr>
      </w:pPr>
      <w:r>
        <w:t>Pri výpočte vplyvov zmeny sadzby treba brať do úvahy aj tzv. “elasticitu dopytu”, keď napr. nárast daňovej sadzby napríklad na pohonné hmoty nespôsobí lineárne zvýšenie celkových príjmov z tejto dane.</w:t>
      </w:r>
    </w:p>
    <w:p w:rsidR="009A653C" w:rsidRPr="004161A1" w:rsidRDefault="009A653C" w:rsidP="009A653C">
      <w:pPr>
        <w:ind w:left="720" w:hanging="360"/>
        <w:jc w:val="both"/>
        <w:outlineLvl w:val="3"/>
        <w:rPr>
          <w:b/>
          <w:bCs/>
        </w:rPr>
      </w:pPr>
      <w:r w:rsidRPr="004161A1">
        <w:rPr>
          <w:rFonts w:ascii="Symbol" w:hAnsi="Symbol"/>
          <w:b/>
          <w:bCs/>
        </w:rPr>
        <w:t></w:t>
      </w:r>
      <w:r w:rsidRPr="004161A1">
        <w:rPr>
          <w:b/>
          <w:bCs/>
          <w:sz w:val="14"/>
          <w:szCs w:val="14"/>
        </w:rPr>
        <w:t xml:space="preserve">        </w:t>
      </w:r>
      <w:r w:rsidRPr="004161A1">
        <w:rPr>
          <w:b/>
          <w:bCs/>
          <w:i/>
          <w:iCs/>
        </w:rPr>
        <w:t>zmena v nároku</w:t>
      </w:r>
      <w:r w:rsidRPr="004161A1">
        <w:rPr>
          <w:b/>
          <w:bCs/>
          <w:sz w:val="28"/>
          <w:szCs w:val="28"/>
        </w:rPr>
        <w:t xml:space="preserve"> </w:t>
      </w:r>
      <w:r>
        <w:t>– návrh upravuje definíciu okruhu osôb, ktoré majú nárok na dávku alebo ktorých sa dotýka určité ustanovenia zákona, t. j.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ktorých základe sa môže urobiť odhad.</w:t>
      </w:r>
    </w:p>
    <w:p w:rsidR="009A653C" w:rsidRDefault="009A653C" w:rsidP="009A653C">
      <w:pPr>
        <w:ind w:left="720" w:hanging="360"/>
        <w:jc w:val="both"/>
      </w:pPr>
      <w:r w:rsidRPr="004161A1">
        <w:rPr>
          <w:rFonts w:ascii="Symbol" w:hAnsi="Symbol"/>
        </w:rPr>
        <w:t></w:t>
      </w:r>
      <w:r w:rsidRPr="004161A1">
        <w:rPr>
          <w:sz w:val="14"/>
          <w:szCs w:val="14"/>
        </w:rPr>
        <w:t xml:space="preserve">        </w:t>
      </w:r>
      <w:r w:rsidRPr="004161A1">
        <w:rPr>
          <w:b/>
          <w:bCs/>
          <w:i/>
          <w:iCs/>
        </w:rPr>
        <w:t>nová služba alebo nariadenie (alebo ich zrušenie)</w:t>
      </w:r>
      <w:r>
        <w:t xml:space="preserve"> – návrh zavádza novú službu alebo nariadenie v oblasti, v ktorej tieto doposiaľ neexistovali, alebo sa navrhuje zníženie rozsahu alebo úplné zrušenie existujúcej služby či nariadenia.                                                                       </w:t>
      </w:r>
    </w:p>
    <w:p w:rsidR="009A653C" w:rsidRDefault="009A653C" w:rsidP="009A653C">
      <w:pPr>
        <w:ind w:left="708"/>
        <w:jc w:val="both"/>
      </w:pPr>
      <w:r>
        <w:t>Tento návrh predstavuje veľkú výzvu pri odhadovaní nákladov, keďže pre takéto činnosti nemusí byť k dispozícii dostatok údajov. V takom prípade bude dôležité podrobne vysvetliť predpoklady.</w:t>
      </w:r>
    </w:p>
    <w:p w:rsidR="009A653C" w:rsidRDefault="009A653C" w:rsidP="009A653C">
      <w:pPr>
        <w:ind w:left="720" w:hanging="360"/>
        <w:jc w:val="both"/>
      </w:pPr>
      <w:r w:rsidRPr="004161A1">
        <w:rPr>
          <w:rFonts w:ascii="Symbol" w:hAnsi="Symbol"/>
        </w:rPr>
        <w:t></w:t>
      </w:r>
      <w:r w:rsidRPr="004161A1">
        <w:rPr>
          <w:sz w:val="14"/>
          <w:szCs w:val="14"/>
        </w:rPr>
        <w:t xml:space="preserve">        </w:t>
      </w:r>
      <w:r w:rsidRPr="004161A1">
        <w:rPr>
          <w:b/>
          <w:bCs/>
          <w:i/>
          <w:iCs/>
        </w:rPr>
        <w:t>kombinovaný návrh</w:t>
      </w:r>
      <w:r>
        <w:t xml:space="preserve"> – tento druh návrhu môže kombinovať prvky vyššie uvedených druhov, čím sa zvyšuje komplexnosť prípravy návrhu doložky.</w:t>
      </w:r>
    </w:p>
    <w:p w:rsidR="009A653C" w:rsidRDefault="009A653C" w:rsidP="009A653C">
      <w:pPr>
        <w:ind w:left="720" w:hanging="360"/>
        <w:jc w:val="both"/>
      </w:pPr>
      <w:r w:rsidRPr="004161A1">
        <w:rPr>
          <w:rFonts w:ascii="Symbol" w:hAnsi="Symbol"/>
        </w:rPr>
        <w:t></w:t>
      </w:r>
      <w:r w:rsidRPr="004161A1">
        <w:rPr>
          <w:sz w:val="14"/>
          <w:szCs w:val="14"/>
        </w:rPr>
        <w:t xml:space="preserve">        </w:t>
      </w:r>
      <w:r w:rsidRPr="004161A1">
        <w:rPr>
          <w:b/>
          <w:bCs/>
          <w:i/>
          <w:iCs/>
        </w:rPr>
        <w:t>iné</w:t>
      </w:r>
      <w:r w:rsidRPr="004161A1">
        <w:rPr>
          <w:b/>
          <w:bCs/>
        </w:rPr>
        <w:t xml:space="preserve"> </w:t>
      </w:r>
      <w:r>
        <w:t>– používa sa na popis ostatných typov, ktoré nie sú pokryté v 4 druhoch uvedených vyššie.</w:t>
      </w:r>
    </w:p>
    <w:p w:rsidR="009A653C" w:rsidRDefault="009A653C" w:rsidP="009A653C">
      <w:pPr>
        <w:jc w:val="both"/>
      </w:pPr>
      <w:r>
        <w:t> </w:t>
      </w:r>
    </w:p>
    <w:p w:rsidR="009A653C" w:rsidRDefault="009A653C" w:rsidP="009A653C">
      <w:r w:rsidRPr="004161A1">
        <w:rPr>
          <w:b/>
          <w:bCs/>
        </w:rPr>
        <w:t>2.3.3. Predpoklady zmien v objeme aktivít</w:t>
      </w:r>
    </w:p>
    <w:p w:rsidR="009A653C" w:rsidRDefault="009A653C" w:rsidP="009A653C">
      <w:r w:rsidRPr="004161A1">
        <w:rPr>
          <w:b/>
          <w:bCs/>
        </w:rPr>
        <w:t> </w:t>
      </w:r>
    </w:p>
    <w:p w:rsidR="009A653C" w:rsidRDefault="009A653C" w:rsidP="009A653C">
      <w:pPr>
        <w:ind w:firstLine="708"/>
        <w:jc w:val="both"/>
      </w:pPr>
      <w:r>
        <w:t>Predkladateľ: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4-ročného obdobia. Príloha č. 13.a preto obsahuje aj tabuľku č. 3 na ročné odhady objemu aktivít.</w:t>
      </w:r>
    </w:p>
    <w:p w:rsidR="009A653C" w:rsidRDefault="009A653C" w:rsidP="009A653C">
      <w:pPr>
        <w:ind w:firstLine="708"/>
        <w:jc w:val="both"/>
      </w:pPr>
      <w:r>
        <w:t> </w:t>
      </w:r>
    </w:p>
    <w:p w:rsidR="009A653C" w:rsidRDefault="009A653C" w:rsidP="009A653C">
      <w:pPr>
        <w:ind w:firstLine="708"/>
        <w:jc w:val="both"/>
      </w:pPr>
      <w: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rsidR="009A653C" w:rsidRDefault="009A653C" w:rsidP="009A653C">
      <w:pPr>
        <w:jc w:val="both"/>
      </w:pPr>
      <w:r>
        <w:t>V tomto prípade by mal byť uvedený aj odhad počtu takýchto nákupov ročne. Takáto úprava by obmedzila administratívnu záťaž subjektov verejnej správy a generovala by úspory v ich prevádzkových nákladoch.</w:t>
      </w:r>
    </w:p>
    <w:p w:rsidR="009A653C" w:rsidRDefault="009A653C" w:rsidP="009A653C">
      <w:pPr>
        <w:jc w:val="both"/>
      </w:pPr>
      <w:r w:rsidRPr="004161A1">
        <w:rPr>
          <w:i/>
          <w:iCs/>
        </w:rPr>
        <w:t> </w:t>
      </w:r>
    </w:p>
    <w:p w:rsidR="009A653C" w:rsidRDefault="009A653C" w:rsidP="009A653C">
      <w:pPr>
        <w:jc w:val="both"/>
      </w:pPr>
      <w:r>
        <w:t>MF SR: Počas konzultačnej fázy môže zhodnotiť MF SR predpoklady uvedené predkladateľom, t. j. ich vhodnosť a konzistentnosť. Počas pripomienkového konania MF SR opäť skontroluje vhodnosť a konzistentnosť odhadov objemu aktivít, ktoré vypracoval predkladateľ v nadväznosti na pripomienky zaslané pripomienkujúcimi stranami.</w:t>
      </w:r>
    </w:p>
    <w:p w:rsidR="009A653C" w:rsidRDefault="009A653C" w:rsidP="009A653C">
      <w:pPr>
        <w:jc w:val="both"/>
      </w:pPr>
      <w:r>
        <w:t> </w:t>
      </w:r>
    </w:p>
    <w:p w:rsidR="009A653C" w:rsidRDefault="009A653C" w:rsidP="009A653C">
      <w:r w:rsidRPr="004161A1">
        <w:rPr>
          <w:b/>
          <w:bCs/>
        </w:rPr>
        <w:t>2.3.4. Výpočty vplyvov na rozpočet verejnej správy</w:t>
      </w:r>
    </w:p>
    <w:p w:rsidR="009A653C" w:rsidRDefault="009A653C" w:rsidP="009A653C">
      <w:r>
        <w:t> </w:t>
      </w:r>
    </w:p>
    <w:p w:rsidR="009A653C" w:rsidRDefault="009A653C" w:rsidP="009A653C">
      <w:pPr>
        <w:ind w:firstLine="708"/>
        <w:jc w:val="both"/>
      </w:pPr>
      <w:r>
        <w:t>V časti 2.3.4. prílohy č. 13.a sa uvádzajú výpočty vplyvov na príjmy a výdavky, ktoré sa použijú v tabuľkách č. 4 až č. 6 prílohy č. 13.a.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rsidR="009A653C" w:rsidRDefault="009A653C" w:rsidP="009A653C">
      <w:pPr>
        <w:jc w:val="both"/>
      </w:pPr>
      <w:r>
        <w:t> </w:t>
      </w:r>
    </w:p>
    <w:p w:rsidR="009A653C" w:rsidRDefault="009A653C" w:rsidP="009A653C">
      <w:r w:rsidRPr="004161A1">
        <w:rPr>
          <w:b/>
          <w:bCs/>
          <w:i/>
          <w:iCs/>
        </w:rPr>
        <w:t>Výpočet vplyvu na príjmy</w:t>
      </w:r>
    </w:p>
    <w:p w:rsidR="009A653C" w:rsidRDefault="009A653C" w:rsidP="009A653C">
      <w:pPr>
        <w:jc w:val="both"/>
      </w:pPr>
      <w:r w:rsidRPr="004161A1">
        <w:rPr>
          <w:b/>
          <w:bCs/>
          <w:i/>
          <w:iCs/>
        </w:rPr>
        <w:t> </w:t>
      </w:r>
    </w:p>
    <w:p w:rsidR="009A653C" w:rsidRDefault="009A653C" w:rsidP="009A653C">
      <w:pPr>
        <w:ind w:firstLine="708"/>
        <w:jc w:val="both"/>
      </w:pPr>
      <w:r>
        <w:t>Predkladateľ: Uvedie výpočty vplyvov na príjmy na základe predpokladaných objemov aktivít uvedených v časti 2.3.3. prílohy č. 13.a.</w:t>
      </w:r>
    </w:p>
    <w:p w:rsidR="009A653C" w:rsidRDefault="009A653C" w:rsidP="009A653C">
      <w:pPr>
        <w:ind w:firstLine="708"/>
        <w:jc w:val="both"/>
      </w:pPr>
      <w:r>
        <w:t> </w:t>
      </w:r>
    </w:p>
    <w:p w:rsidR="009A653C" w:rsidRDefault="009A653C" w:rsidP="009A653C">
      <w:pPr>
        <w:ind w:firstLine="708"/>
        <w:jc w:val="both"/>
      </w:pPr>
      <w:r>
        <w:t>MF SR:</w:t>
      </w:r>
      <w:r w:rsidRPr="004161A1">
        <w:rPr>
          <w:i/>
          <w:iCs/>
        </w:rPr>
        <w:t xml:space="preserve"> </w:t>
      </w:r>
      <w:r>
        <w:t xml:space="preserve">Skontroluje logiku týchto výpočtov a v prípade potreby požiada o ich vysvetlenie alebo úpravu. </w:t>
      </w:r>
    </w:p>
    <w:p w:rsidR="009A653C" w:rsidRDefault="009A653C" w:rsidP="009A653C">
      <w:pPr>
        <w:ind w:firstLine="708"/>
        <w:jc w:val="both"/>
      </w:pPr>
      <w:r>
        <w:t xml:space="preserve">Výpočty príjmov sú spravidla kombináciou “základu” a “sadzby”. </w:t>
      </w:r>
    </w:p>
    <w:p w:rsidR="009A653C" w:rsidRDefault="009A653C" w:rsidP="009A653C">
      <w:pPr>
        <w:jc w:val="both"/>
      </w:pPr>
      <w:r w:rsidRPr="004161A1">
        <w:rPr>
          <w:b/>
          <w:bCs/>
          <w:i/>
          <w:iCs/>
        </w:rPr>
        <w:t> </w:t>
      </w:r>
    </w:p>
    <w:p w:rsidR="009A653C" w:rsidRDefault="009A653C" w:rsidP="009A653C">
      <w:pPr>
        <w:jc w:val="both"/>
      </w:pPr>
      <w:r w:rsidRPr="004161A1">
        <w:rPr>
          <w:b/>
          <w:bCs/>
          <w:i/>
          <w:iCs/>
        </w:rPr>
        <w:t>Výpočet nákladov</w:t>
      </w:r>
    </w:p>
    <w:p w:rsidR="009A653C" w:rsidRDefault="009A653C" w:rsidP="009A653C">
      <w:pPr>
        <w:jc w:val="both"/>
      </w:pPr>
      <w:r w:rsidRPr="004161A1">
        <w:rPr>
          <w:i/>
          <w:iCs/>
        </w:rPr>
        <w:t> </w:t>
      </w:r>
    </w:p>
    <w:p w:rsidR="009A653C" w:rsidRDefault="009A653C" w:rsidP="009A653C">
      <w:pPr>
        <w:ind w:firstLine="708"/>
        <w:jc w:val="both"/>
      </w:pPr>
      <w:r>
        <w:lastRenderedPageBreak/>
        <w:t>Predkladateľ:</w:t>
      </w:r>
      <w:r w:rsidRPr="004161A1">
        <w:rPr>
          <w:i/>
          <w:iCs/>
        </w:rPr>
        <w:t xml:space="preserve"> </w:t>
      </w:r>
      <w:r>
        <w:t>Uvedie požadované vstupy a výpočty požadovaných výdavkov na základe odhadovaného objemu aktivít v časti 2.3.3. prílohy č. 13.a.</w:t>
      </w:r>
    </w:p>
    <w:p w:rsidR="009A653C" w:rsidRDefault="009A653C" w:rsidP="009A653C">
      <w:pPr>
        <w:ind w:firstLine="708"/>
        <w:jc w:val="both"/>
      </w:pPr>
      <w:r>
        <w:t> </w:t>
      </w:r>
    </w:p>
    <w:p w:rsidR="009A653C" w:rsidRDefault="009A653C" w:rsidP="009A653C">
      <w:pPr>
        <w:ind w:firstLine="708"/>
        <w:jc w:val="both"/>
      </w:pPr>
      <w:r>
        <w:t>MF SR:</w:t>
      </w:r>
      <w:r w:rsidRPr="004161A1">
        <w:rPr>
          <w:i/>
          <w:iCs/>
        </w:rPr>
        <w:t xml:space="preserve"> </w:t>
      </w:r>
      <w:r>
        <w:t>Skontroluje logiku týchto výpočtov a v prípade potreby požiada o ich vysvetlenie alebo úpravu.</w:t>
      </w:r>
    </w:p>
    <w:p w:rsidR="009A653C" w:rsidRDefault="009A653C" w:rsidP="009A653C">
      <w:pPr>
        <w:jc w:val="both"/>
      </w:pPr>
      <w:r>
        <w:t> </w:t>
      </w:r>
    </w:p>
    <w:p w:rsidR="009A653C" w:rsidRDefault="009A653C" w:rsidP="009A653C">
      <w:pPr>
        <w:pBdr>
          <w:top w:val="single" w:sz="4" w:space="1" w:color="000000"/>
          <w:left w:val="single" w:sz="4" w:space="4" w:color="000000"/>
          <w:bottom w:val="single" w:sz="4" w:space="1" w:color="000000"/>
          <w:right w:val="single" w:sz="4" w:space="4" w:color="000000"/>
        </w:pBdr>
        <w:jc w:val="both"/>
      </w:pPr>
      <w:r>
        <w:t>Logický reťazec stanovovania nákladov:</w:t>
      </w:r>
    </w:p>
    <w:p w:rsidR="009A653C" w:rsidRDefault="009A653C" w:rsidP="009A653C">
      <w:pPr>
        <w:pBdr>
          <w:top w:val="single" w:sz="4" w:space="1" w:color="000000"/>
          <w:left w:val="single" w:sz="4" w:space="4" w:color="000000"/>
          <w:bottom w:val="single" w:sz="4" w:space="1" w:color="000000"/>
          <w:right w:val="single" w:sz="4" w:space="4" w:color="000000"/>
        </w:pBdr>
        <w:jc w:val="both"/>
      </w:pPr>
      <w:r>
        <w:t xml:space="preserve">                           </w:t>
      </w:r>
    </w:p>
    <w:p w:rsidR="009A653C" w:rsidRDefault="009A653C" w:rsidP="009A653C">
      <w:pPr>
        <w:pBdr>
          <w:top w:val="single" w:sz="4" w:space="1" w:color="000000"/>
          <w:left w:val="single" w:sz="4" w:space="4" w:color="000000"/>
          <w:bottom w:val="single" w:sz="4" w:space="1" w:color="000000"/>
          <w:right w:val="single" w:sz="4" w:space="4" w:color="000000"/>
        </w:pBdr>
        <w:jc w:val="both"/>
      </w:pPr>
      <w:r>
        <w:t>NÁVRH   →   ZMENA OBJEMU AKTIVÍT   →   POŽADOVANÉ VSTUPY   →   NÁKLADY</w:t>
      </w:r>
    </w:p>
    <w:p w:rsidR="009A653C" w:rsidRDefault="009A653C" w:rsidP="009A653C">
      <w:pPr>
        <w:jc w:val="both"/>
      </w:pPr>
      <w:r>
        <w:t> </w:t>
      </w:r>
    </w:p>
    <w:p w:rsidR="009A653C" w:rsidRDefault="009A653C" w:rsidP="009A653C">
      <w:pPr>
        <w:ind w:firstLine="708"/>
        <w:jc w:val="both"/>
      </w:pPr>
      <w:r>
        <w:t xml:space="preserve">V tejto fáze je nevyhnutné najprv stanoviť vstupy, ktoré si vyžiadajú zmeny v objeme aktivít, ako je to uvedené v časti 2.3.3. prílohy č. 13.a a následne vypočítať náklady na tieto vstupy. </w:t>
      </w:r>
    </w:p>
    <w:p w:rsidR="009A653C" w:rsidRDefault="009A653C" w:rsidP="009A653C">
      <w:pPr>
        <w:jc w:val="both"/>
        <w:rPr>
          <w:i/>
          <w:iCs/>
        </w:rPr>
      </w:pPr>
      <w:r w:rsidRPr="004161A1">
        <w:rPr>
          <w:i/>
          <w:iCs/>
        </w:rPr>
        <w:t> </w:t>
      </w:r>
    </w:p>
    <w:p w:rsidR="009A653C" w:rsidRDefault="009A653C" w:rsidP="009A653C">
      <w:pPr>
        <w:jc w:val="both"/>
      </w:pPr>
      <w:r w:rsidRPr="004161A1">
        <w:rPr>
          <w:i/>
          <w:iCs/>
        </w:rPr>
        <w:t xml:space="preserve">Stanovenie požadovaných vstupov </w:t>
      </w:r>
      <w:r>
        <w:t>–  bežné druhy vstupov sú:</w:t>
      </w:r>
    </w:p>
    <w:p w:rsidR="009A653C" w:rsidRDefault="009A653C" w:rsidP="009A653C">
      <w:pPr>
        <w:jc w:val="both"/>
      </w:pPr>
      <w:r>
        <w:t> </w:t>
      </w:r>
    </w:p>
    <w:p w:rsidR="009A653C" w:rsidRDefault="009A653C" w:rsidP="009A653C">
      <w:pPr>
        <w:ind w:left="720" w:hanging="360"/>
        <w:jc w:val="both"/>
      </w:pPr>
      <w:r w:rsidRPr="004161A1">
        <w:rPr>
          <w:rFonts w:ascii="Symbol" w:hAnsi="Symbol"/>
        </w:rPr>
        <w:t></w:t>
      </w:r>
      <w:r w:rsidRPr="004161A1">
        <w:rPr>
          <w:sz w:val="14"/>
          <w:szCs w:val="14"/>
        </w:rPr>
        <w:t xml:space="preserve">        </w:t>
      </w:r>
      <w:r w:rsidRPr="004161A1">
        <w:rPr>
          <w:i/>
          <w:iCs/>
        </w:rPr>
        <w:t>zamestnanci</w:t>
      </w:r>
      <w:r>
        <w:t xml:space="preserve"> – práca s klientmi, uplatňovanie nariadení a riadenie činností programu.  Počet (a typ) zamestnancov neurčuje iba objemy miezd (610) a poistného (620), ale má vplyv aj na objem tovarov a služieb (630), keďže tieto často súvisia s počtom zamestnancov.</w:t>
      </w:r>
    </w:p>
    <w:p w:rsidR="009A653C" w:rsidRDefault="009A653C" w:rsidP="009A653C">
      <w:pPr>
        <w:ind w:left="720" w:hanging="360"/>
        <w:jc w:val="both"/>
      </w:pPr>
      <w:r w:rsidRPr="004161A1">
        <w:rPr>
          <w:rFonts w:ascii="Symbol" w:hAnsi="Symbol"/>
        </w:rPr>
        <w:t></w:t>
      </w:r>
      <w:r w:rsidRPr="004161A1">
        <w:rPr>
          <w:sz w:val="14"/>
          <w:szCs w:val="14"/>
        </w:rPr>
        <w:t xml:space="preserve">        </w:t>
      </w:r>
      <w:r w:rsidRPr="004161A1">
        <w:rPr>
          <w:i/>
          <w:iCs/>
        </w:rPr>
        <w:t>vybavenie</w:t>
      </w:r>
      <w: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rsidR="009A653C" w:rsidRDefault="009A653C" w:rsidP="009A653C">
      <w:pPr>
        <w:ind w:left="720" w:hanging="360"/>
        <w:jc w:val="both"/>
      </w:pPr>
      <w:r w:rsidRPr="004161A1">
        <w:rPr>
          <w:rFonts w:ascii="Symbol" w:hAnsi="Symbol"/>
        </w:rPr>
        <w:t></w:t>
      </w:r>
      <w:r w:rsidRPr="004161A1">
        <w:rPr>
          <w:sz w:val="14"/>
          <w:szCs w:val="14"/>
        </w:rPr>
        <w:t xml:space="preserve">        </w:t>
      </w:r>
      <w:r w:rsidRPr="004161A1">
        <w:rPr>
          <w:i/>
          <w:iCs/>
        </w:rPr>
        <w:t>iné prevádzkové náklady</w:t>
      </w:r>
      <w:r>
        <w:t xml:space="preserve"> – vrátane nákladov na elektrickú energiu, vykurovanie, telekomunikácie, prenájom priestorov, pohonných hmôt, tlačenia materiálov a pod.</w:t>
      </w:r>
    </w:p>
    <w:p w:rsidR="009A653C" w:rsidRDefault="009A653C" w:rsidP="009A653C">
      <w:pPr>
        <w:ind w:left="720" w:hanging="360"/>
        <w:jc w:val="both"/>
      </w:pPr>
      <w:r w:rsidRPr="004161A1">
        <w:rPr>
          <w:rFonts w:ascii="Symbol" w:hAnsi="Symbol"/>
        </w:rPr>
        <w:t></w:t>
      </w:r>
      <w:r w:rsidRPr="004161A1">
        <w:rPr>
          <w:sz w:val="14"/>
          <w:szCs w:val="14"/>
        </w:rPr>
        <w:t xml:space="preserve">        </w:t>
      </w:r>
      <w:r w:rsidRPr="004161A1">
        <w:rPr>
          <w:i/>
          <w:iCs/>
        </w:rPr>
        <w:t>dopravné náklady</w:t>
      </w:r>
      <w:r>
        <w:t xml:space="preserve"> – vozidlá pre zamestnancov, výdavky na služobné cesty, autobusy pre klientov, domáca a medzinárodná preprava.</w:t>
      </w:r>
    </w:p>
    <w:p w:rsidR="009A653C" w:rsidRDefault="009A653C" w:rsidP="009A653C">
      <w:pPr>
        <w:ind w:left="720" w:hanging="360"/>
        <w:jc w:val="both"/>
      </w:pPr>
      <w:r w:rsidRPr="004161A1">
        <w:rPr>
          <w:rFonts w:ascii="Symbol" w:hAnsi="Symbol"/>
        </w:rPr>
        <w:t></w:t>
      </w:r>
      <w:r w:rsidRPr="004161A1">
        <w:rPr>
          <w:sz w:val="14"/>
          <w:szCs w:val="14"/>
        </w:rPr>
        <w:t xml:space="preserve">        </w:t>
      </w:r>
      <w:r w:rsidRPr="004161A1">
        <w:rPr>
          <w:i/>
          <w:iCs/>
        </w:rPr>
        <w:t>kapitálové investície</w:t>
      </w:r>
      <w:r>
        <w:t xml:space="preserve"> – nové budovy, dátové alebo komunikačné systémy a pod.</w:t>
      </w:r>
    </w:p>
    <w:p w:rsidR="009A653C" w:rsidRDefault="009A653C" w:rsidP="009A653C">
      <w:pPr>
        <w:jc w:val="both"/>
      </w:pPr>
      <w:r w:rsidRPr="004161A1">
        <w:rPr>
          <w:b/>
          <w:bCs/>
        </w:rPr>
        <w:t> </w:t>
      </w:r>
    </w:p>
    <w:p w:rsidR="009A653C" w:rsidRDefault="009A653C" w:rsidP="009A653C">
      <w:pPr>
        <w:jc w:val="both"/>
      </w:pPr>
      <w:r w:rsidRPr="004161A1">
        <w:rPr>
          <w:b/>
          <w:bCs/>
        </w:rPr>
        <w:t xml:space="preserve">2.4. Vyplnenie tabuliek č. 4 až 6 prílohy č. </w:t>
      </w:r>
      <w:r w:rsidRPr="00A40234">
        <w:rPr>
          <w:b/>
        </w:rPr>
        <w:t>13.a</w:t>
      </w:r>
    </w:p>
    <w:p w:rsidR="009A653C" w:rsidRDefault="009A653C" w:rsidP="009A653C">
      <w:pPr>
        <w:jc w:val="both"/>
      </w:pPr>
      <w:r>
        <w:t> </w:t>
      </w:r>
    </w:p>
    <w:p w:rsidR="009A653C" w:rsidRDefault="009A653C" w:rsidP="009A653C">
      <w:pPr>
        <w:jc w:val="both"/>
      </w:pPr>
      <w:r>
        <w:t xml:space="preserve">              Neoddeliteľnou súčasťou prílohy č. 13.a sú tabuľky č. 4 až č. 6 pre výpočet vplyvu na príjmy, výdavky a zamestnanosť. </w:t>
      </w:r>
    </w:p>
    <w:p w:rsidR="009A653C" w:rsidRDefault="009A653C" w:rsidP="009A653C">
      <w:pPr>
        <w:jc w:val="both"/>
      </w:pPr>
      <w:r>
        <w:t> </w:t>
      </w:r>
    </w:p>
    <w:p w:rsidR="009A653C" w:rsidRDefault="009A653C" w:rsidP="009A653C">
      <w:pPr>
        <w:ind w:left="720" w:hanging="360"/>
        <w:jc w:val="both"/>
      </w:pPr>
      <w:r w:rsidRPr="004161A1">
        <w:rPr>
          <w:rFonts w:ascii="Symbol" w:hAnsi="Symbol"/>
          <w:i/>
          <w:iCs/>
        </w:rPr>
        <w:t></w:t>
      </w:r>
      <w:r w:rsidRPr="004161A1">
        <w:rPr>
          <w:sz w:val="14"/>
          <w:szCs w:val="14"/>
        </w:rPr>
        <w:t xml:space="preserve">        </w:t>
      </w:r>
      <w:r>
        <w:t xml:space="preserve">pre návrhy </w:t>
      </w:r>
      <w:r w:rsidRPr="004161A1">
        <w:rPr>
          <w:i/>
          <w:iCs/>
        </w:rPr>
        <w:t xml:space="preserve">bez vplyvov na rozpočet verejnej správy </w:t>
      </w:r>
      <w:r>
        <w:t>sa tabuľky č. 4 až č. 6 nemusia osobitne vypĺňať, v prílohe č. 13 v časti A.2 stačí uviesť, že návrh nemá vplyv na rozpočet verejnej správy;</w:t>
      </w:r>
    </w:p>
    <w:p w:rsidR="009A653C" w:rsidRDefault="009A653C" w:rsidP="009A653C">
      <w:pPr>
        <w:ind w:left="720" w:hanging="360"/>
        <w:jc w:val="both"/>
      </w:pPr>
      <w:r w:rsidRPr="004161A1">
        <w:rPr>
          <w:rFonts w:ascii="Symbol" w:hAnsi="Symbol"/>
          <w:i/>
          <w:iCs/>
        </w:rPr>
        <w:t></w:t>
      </w:r>
      <w:r w:rsidRPr="004161A1">
        <w:rPr>
          <w:sz w:val="14"/>
          <w:szCs w:val="14"/>
        </w:rPr>
        <w:t xml:space="preserve">        </w:t>
      </w:r>
      <w:r>
        <w:t xml:space="preserve">v prípade návrhov </w:t>
      </w:r>
      <w:r w:rsidRPr="004161A1">
        <w:rPr>
          <w:i/>
          <w:iCs/>
        </w:rPr>
        <w:t xml:space="preserve">s vplyvom na rozpočet verejnej správy </w:t>
      </w:r>
      <w:r>
        <w:t xml:space="preserve">na príjmy a výdavky spolu </w:t>
      </w:r>
      <w:r w:rsidRPr="004161A1">
        <w:rPr>
          <w:i/>
          <w:iCs/>
        </w:rPr>
        <w:t>do 300 000 Eur vrátane</w:t>
      </w:r>
      <w:r>
        <w:t xml:space="preserve"> v každom z rokov za celé sledované obdobie, vypĺňajú sa iba súčtové riadky (t. j. riadky „celkom“) bez podrobnejšej klasifikácie;</w:t>
      </w:r>
    </w:p>
    <w:p w:rsidR="009A653C" w:rsidRDefault="009A653C" w:rsidP="009A653C">
      <w:pPr>
        <w:ind w:left="720" w:hanging="360"/>
        <w:jc w:val="both"/>
      </w:pPr>
      <w:r w:rsidRPr="004161A1">
        <w:rPr>
          <w:rFonts w:ascii="Symbol" w:hAnsi="Symbol"/>
          <w:i/>
          <w:iCs/>
        </w:rPr>
        <w:t></w:t>
      </w:r>
      <w:r w:rsidRPr="004161A1">
        <w:rPr>
          <w:sz w:val="14"/>
          <w:szCs w:val="14"/>
        </w:rPr>
        <w:t xml:space="preserve">        </w:t>
      </w:r>
      <w:r>
        <w:t xml:space="preserve">v prípade návrhov </w:t>
      </w:r>
      <w:r w:rsidRPr="004161A1">
        <w:rPr>
          <w:i/>
          <w:iCs/>
        </w:rPr>
        <w:t xml:space="preserve">s vplyvom na rozpočet verejnej správy </w:t>
      </w:r>
      <w:r>
        <w:t xml:space="preserve">na príjmy a výdavky spolu </w:t>
      </w:r>
      <w:r w:rsidRPr="004161A1">
        <w:rPr>
          <w:i/>
          <w:iCs/>
        </w:rPr>
        <w:t>nad 300 000 Eur</w:t>
      </w:r>
      <w:r>
        <w:t xml:space="preserve"> aspoň v jednom z rokov za celé sledované obdobie, vypĺňajú sa tabuľky č. 4 až 6 za každý dotknutý subjekt verejnej správy.</w:t>
      </w:r>
    </w:p>
    <w:p w:rsidR="009A653C" w:rsidRDefault="009A653C" w:rsidP="009A653C">
      <w:pPr>
        <w:ind w:firstLine="708"/>
        <w:jc w:val="both"/>
      </w:pPr>
      <w:r>
        <w:t> </w:t>
      </w:r>
    </w:p>
    <w:p w:rsidR="009A653C" w:rsidRDefault="009A653C" w:rsidP="009A653C">
      <w:pPr>
        <w:ind w:firstLine="708"/>
        <w:jc w:val="both"/>
      </w:pPr>
      <w:r>
        <w:t xml:space="preserve">Ak sa vplyv týka viacerých subjektov verejnej správy, vypĺňa sa samostatná tabuľka za každý subjekt.  Zhrnutie v prílohe č. 13.a 5 časti 2.1. sa vypĺňa podľa jednotlivých subjektov verejnej správy. Ak sa vplyv týka viacerých programov programovej štruktúry (ďalej len programov), vyplnia sa tabuľky č. 4 až č. 6 za každý program; predkladateľ uvedie rozčlenenie podľa programov taktiež v zhrnutí 2.1. Tento postup sa uplatní aj v prípade, ak sa návrh týka viacerých programov u viacerých subjektov verejnej správy. </w:t>
      </w:r>
    </w:p>
    <w:p w:rsidR="009A653C" w:rsidRDefault="009A653C" w:rsidP="009A653C">
      <w:pPr>
        <w:jc w:val="both"/>
      </w:pPr>
      <w:r>
        <w:t> </w:t>
      </w:r>
    </w:p>
    <w:p w:rsidR="009A653C" w:rsidRDefault="009A653C" w:rsidP="009A653C">
      <w:pPr>
        <w:jc w:val="both"/>
      </w:pPr>
      <w:r w:rsidRPr="004161A1">
        <w:rPr>
          <w:b/>
          <w:bCs/>
        </w:rPr>
        <w:t>2.4.1. Tabuľka č. 4: tabuľka vplyvov na príjmy</w:t>
      </w:r>
    </w:p>
    <w:p w:rsidR="009A653C" w:rsidRDefault="009A653C" w:rsidP="009A653C">
      <w:pPr>
        <w:jc w:val="both"/>
      </w:pPr>
      <w:r w:rsidRPr="004161A1">
        <w:rPr>
          <w:b/>
          <w:bCs/>
        </w:rPr>
        <w:t> </w:t>
      </w:r>
    </w:p>
    <w:p w:rsidR="009A653C" w:rsidRDefault="009A653C" w:rsidP="009A653C">
      <w:pPr>
        <w:ind w:firstLine="708"/>
        <w:jc w:val="both"/>
      </w:pPr>
      <w:r>
        <w:t xml:space="preserve">Predkladateľ: Výška odhadovaného vplyvu na príjmy za jednotlivé subjekty verejnej správy, na ktoré má návrh vplyv, sa uvedie do súhrnnej tabuľky v časti 2.1 prílohy č. 13.a. </w:t>
      </w:r>
    </w:p>
    <w:p w:rsidR="009A653C" w:rsidRDefault="009A653C" w:rsidP="009A653C">
      <w:pPr>
        <w:ind w:firstLine="708"/>
        <w:jc w:val="both"/>
      </w:pPr>
      <w:r>
        <w:t> </w:t>
      </w:r>
    </w:p>
    <w:p w:rsidR="009A653C" w:rsidRDefault="009A653C" w:rsidP="009A653C">
      <w:pPr>
        <w:ind w:firstLine="708"/>
        <w:jc w:val="both"/>
      </w:pPr>
      <w: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13.a.</w:t>
      </w:r>
    </w:p>
    <w:p w:rsidR="009A653C" w:rsidRDefault="009A653C" w:rsidP="009A653C">
      <w:pPr>
        <w:ind w:firstLine="708"/>
        <w:jc w:val="both"/>
      </w:pPr>
      <w:r>
        <w:t> </w:t>
      </w:r>
    </w:p>
    <w:p w:rsidR="009A653C" w:rsidRDefault="009A653C" w:rsidP="009A653C">
      <w:pPr>
        <w:ind w:firstLine="708"/>
        <w:jc w:val="both"/>
      </w:pPr>
      <w:r>
        <w:t>MF SR:</w:t>
      </w:r>
      <w:r w:rsidRPr="004161A1">
        <w:rPr>
          <w:i/>
          <w:iCs/>
        </w:rPr>
        <w:t xml:space="preserve"> </w:t>
      </w:r>
      <w: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rsidR="009A653C" w:rsidRDefault="009A653C" w:rsidP="009A653C">
      <w:pPr>
        <w:jc w:val="both"/>
      </w:pPr>
      <w:r w:rsidRPr="004161A1">
        <w:rPr>
          <w:i/>
          <w:iCs/>
        </w:rPr>
        <w:t> </w:t>
      </w:r>
    </w:p>
    <w:p w:rsidR="009A653C" w:rsidRDefault="009A653C" w:rsidP="009A653C">
      <w:pPr>
        <w:jc w:val="both"/>
      </w:pPr>
      <w:r w:rsidRPr="004161A1">
        <w:rPr>
          <w:b/>
          <w:bCs/>
        </w:rPr>
        <w:t>2.4.2. Tabuľka č. 5: tabuľka vplyvov na výdavky</w:t>
      </w:r>
    </w:p>
    <w:p w:rsidR="009A653C" w:rsidRDefault="009A653C" w:rsidP="009A653C">
      <w:pPr>
        <w:jc w:val="both"/>
      </w:pPr>
      <w:r w:rsidRPr="004161A1">
        <w:rPr>
          <w:i/>
          <w:iCs/>
        </w:rPr>
        <w:lastRenderedPageBreak/>
        <w:t> </w:t>
      </w:r>
    </w:p>
    <w:p w:rsidR="009A653C" w:rsidRDefault="009A653C" w:rsidP="009A653C">
      <w:pPr>
        <w:ind w:firstLine="708"/>
        <w:jc w:val="both"/>
      </w:pPr>
      <w:r>
        <w:t xml:space="preserve">Predkladateľ :Výška odhadovaného vplyvu na výdavky za jednotlivé subjekty verejnej správy / programy, na ktoré má návrh vplyv, sa uvedie do súhrnnej tabuľky v časti 2.1 prílohy č. 13.a na základe podrobnejších údajov z tabuliek č. 4 až č. 6. Na základe podkladov a konzultácií spracuje predkladateľ súhrnnú tabuľku za celý návrh. Tabuľka výdavkov by mala vyjadrovať celkový vplyv na výdavky podľa podrobnej klasifikácie výdavkov na základe vstupov od  dotknutých strán. </w:t>
      </w:r>
    </w:p>
    <w:p w:rsidR="009A653C" w:rsidRDefault="009A653C" w:rsidP="009A653C">
      <w:pPr>
        <w:jc w:val="both"/>
      </w:pPr>
      <w:r>
        <w:t> </w:t>
      </w:r>
    </w:p>
    <w:p w:rsidR="009A653C" w:rsidRDefault="009A653C" w:rsidP="009A653C">
      <w:pPr>
        <w:ind w:firstLine="708"/>
        <w:jc w:val="both"/>
      </w:pPr>
      <w:r>
        <w:t>MF SR:</w:t>
      </w:r>
      <w:r w:rsidRPr="004161A1">
        <w:rPr>
          <w:i/>
          <w:iCs/>
        </w:rPr>
        <w:t xml:space="preserve"> </w:t>
      </w:r>
      <w: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rsidR="009A653C" w:rsidRDefault="009A653C" w:rsidP="009A653C">
      <w:pPr>
        <w:jc w:val="both"/>
      </w:pPr>
      <w:r w:rsidRPr="004161A1">
        <w:rPr>
          <w:i/>
          <w:iCs/>
        </w:rPr>
        <w:t> </w:t>
      </w:r>
    </w:p>
    <w:p w:rsidR="009A653C" w:rsidRDefault="009A653C" w:rsidP="009A653C">
      <w:pPr>
        <w:jc w:val="both"/>
      </w:pPr>
      <w:r w:rsidRPr="004161A1">
        <w:rPr>
          <w:b/>
          <w:bCs/>
        </w:rPr>
        <w:t>2.4.3. Tabuľka č. 6: tabuľka vplyvov na zamestnanosť</w:t>
      </w:r>
    </w:p>
    <w:p w:rsidR="009A653C" w:rsidRDefault="009A653C" w:rsidP="009A653C">
      <w:pPr>
        <w:jc w:val="both"/>
      </w:pPr>
      <w:r>
        <w:t> </w:t>
      </w:r>
    </w:p>
    <w:p w:rsidR="009A653C" w:rsidRDefault="009A653C" w:rsidP="009A653C">
      <w:pPr>
        <w:ind w:firstLine="708"/>
        <w:jc w:val="both"/>
      </w:pPr>
      <w:r>
        <w:t>Predkladateľ</w:t>
      </w:r>
      <w:r w:rsidRPr="004161A1">
        <w:rPr>
          <w:i/>
          <w:iCs/>
        </w:rPr>
        <w:t xml:space="preserve">: </w:t>
      </w:r>
      <w:r>
        <w:t>Ak daný návrh nemá žiadny vplyv na zamestnanosť, tabuľka č. 6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t. j. vrátane všetkých tarifných i nadtarifných zložiek platu. V ďalších rokoch by mal predkladateľ uvažovať so všeobecnou valorizáciou priemerných mzdových výdavkov na príslušný rok. Celkové mzdové náklady na týchto pracovníkov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13.a.</w:t>
      </w:r>
    </w:p>
    <w:p w:rsidR="009A653C" w:rsidRDefault="009A653C" w:rsidP="009A653C">
      <w:pPr>
        <w:jc w:val="both"/>
      </w:pPr>
      <w:r>
        <w:t> </w:t>
      </w:r>
    </w:p>
    <w:p w:rsidR="009A653C" w:rsidRDefault="009A653C" w:rsidP="009A653C">
      <w:pPr>
        <w:ind w:firstLine="708"/>
        <w:jc w:val="both"/>
      </w:pPr>
      <w:r>
        <w:t>MF SR:</w:t>
      </w:r>
      <w:r w:rsidRPr="004161A1">
        <w:rPr>
          <w:i/>
          <w:iCs/>
        </w:rPr>
        <w:t xml:space="preserve"> </w:t>
      </w:r>
      <w: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rsidR="009A653C" w:rsidRDefault="009A653C" w:rsidP="009A653C">
      <w:r>
        <w:t> </w:t>
      </w:r>
    </w:p>
    <w:p w:rsidR="009A653C" w:rsidRDefault="009A653C" w:rsidP="001B558E">
      <w:pPr>
        <w:rPr>
          <w:b/>
          <w:sz w:val="24"/>
        </w:rPr>
      </w:pPr>
    </w:p>
    <w:p w:rsidR="009A653C" w:rsidRPr="00870D7F" w:rsidRDefault="009A653C" w:rsidP="001B558E">
      <w:pPr>
        <w:rPr>
          <w:b/>
          <w:sz w:val="24"/>
        </w:rPr>
      </w:pPr>
    </w:p>
    <w:sectPr w:rsidR="009A653C" w:rsidRPr="00870D7F" w:rsidSect="00673D2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7B7" w:rsidRDefault="008A27B7">
      <w:r>
        <w:separator/>
      </w:r>
    </w:p>
  </w:endnote>
  <w:endnote w:type="continuationSeparator" w:id="0">
    <w:p w:rsidR="008A27B7" w:rsidRDefault="008A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260" w:rsidRDefault="00F7426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F74260" w:rsidRDefault="00F74260">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260" w:rsidRDefault="00F74260">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260" w:rsidRDefault="00F74260">
    <w:pPr>
      <w:pStyle w:val="Pta"/>
      <w:jc w:val="right"/>
    </w:pPr>
    <w:r>
      <w:fldChar w:fldCharType="begin"/>
    </w:r>
    <w:r>
      <w:instrText>PAGE   \* MERGEFORMAT</w:instrText>
    </w:r>
    <w:r>
      <w:fldChar w:fldCharType="separate"/>
    </w:r>
    <w:r>
      <w:rPr>
        <w:noProof/>
      </w:rPr>
      <w:t>0</w:t>
    </w:r>
    <w:r>
      <w:rPr>
        <w:noProof/>
      </w:rPr>
      <w:fldChar w:fldCharType="end"/>
    </w:r>
  </w:p>
  <w:p w:rsidR="00F74260" w:rsidRDefault="00F7426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7B7" w:rsidRDefault="008A27B7">
      <w:r>
        <w:separator/>
      </w:r>
    </w:p>
  </w:footnote>
  <w:footnote w:type="continuationSeparator" w:id="0">
    <w:p w:rsidR="008A27B7" w:rsidRDefault="008A2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260" w:rsidRDefault="00F74260" w:rsidP="00673D21">
    <w:pPr>
      <w:pStyle w:val="Hlavika"/>
      <w:jc w:val="right"/>
      <w:rPr>
        <w:sz w:val="24"/>
        <w:szCs w:val="24"/>
      </w:rPr>
    </w:pPr>
    <w:r>
      <w:rPr>
        <w:sz w:val="24"/>
        <w:szCs w:val="24"/>
      </w:rPr>
      <w:t>Príloha č. 2</w:t>
    </w:r>
  </w:p>
  <w:p w:rsidR="00F74260" w:rsidRPr="00EB59C8" w:rsidRDefault="00F74260" w:rsidP="00673D21">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260" w:rsidRPr="0024067A" w:rsidRDefault="00F74260">
    <w:pPr>
      <w:pStyle w:val="Hlavika"/>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260" w:rsidRPr="000A15AE" w:rsidRDefault="00F74260" w:rsidP="00673D21">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080B47FA"/>
    <w:multiLevelType w:val="hybridMultilevel"/>
    <w:tmpl w:val="280010B2"/>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D46641C"/>
    <w:multiLevelType w:val="multilevel"/>
    <w:tmpl w:val="ABC0789E"/>
    <w:lvl w:ilvl="0">
      <w:start w:val="1"/>
      <w:numFmt w:val="bullet"/>
      <w:lvlText w:val=""/>
      <w:lvlJc w:val="left"/>
      <w:pPr>
        <w:ind w:left="360" w:hanging="360"/>
      </w:pPr>
      <w:rPr>
        <w:rFonts w:ascii="Symbol" w:hAnsi="Symbol" w:hint="default"/>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0FEE4B2D"/>
    <w:multiLevelType w:val="multilevel"/>
    <w:tmpl w:val="84C29FCC"/>
    <w:lvl w:ilvl="0">
      <w:start w:val="1"/>
      <w:numFmt w:val="lowerLetter"/>
      <w:lvlText w:val="%1)"/>
      <w:lvlJc w:val="left"/>
      <w:pPr>
        <w:ind w:left="360" w:hanging="360"/>
      </w:pPr>
      <w:rPr>
        <w:rFonts w:cs="Times New Roman"/>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DC6716C"/>
    <w:multiLevelType w:val="hybridMultilevel"/>
    <w:tmpl w:val="2AF45A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5A44AEF"/>
    <w:multiLevelType w:val="hybridMultilevel"/>
    <w:tmpl w:val="FC501F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5D04F63"/>
    <w:multiLevelType w:val="hybridMultilevel"/>
    <w:tmpl w:val="6E427C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7912CA7"/>
    <w:multiLevelType w:val="hybridMultilevel"/>
    <w:tmpl w:val="07F0D288"/>
    <w:lvl w:ilvl="0" w:tplc="041B000F">
      <w:start w:val="1"/>
      <w:numFmt w:val="decimal"/>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
    <w:nsid w:val="2A7B77C4"/>
    <w:multiLevelType w:val="hybridMultilevel"/>
    <w:tmpl w:val="8990C5B6"/>
    <w:lvl w:ilvl="0" w:tplc="041B0011">
      <w:start w:val="1"/>
      <w:numFmt w:val="decimal"/>
      <w:lvlText w:val="%1)"/>
      <w:lvlJc w:val="left"/>
      <w:pPr>
        <w:ind w:left="720" w:hanging="360"/>
      </w:pPr>
      <w:rPr>
        <w:sz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
    <w:nsid w:val="374D30CC"/>
    <w:multiLevelType w:val="hybridMultilevel"/>
    <w:tmpl w:val="95541E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8B81A4F"/>
    <w:multiLevelType w:val="hybridMultilevel"/>
    <w:tmpl w:val="EA1A7FF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4">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C257BB9"/>
    <w:multiLevelType w:val="hybridMultilevel"/>
    <w:tmpl w:val="4B16E37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E0535D"/>
    <w:multiLevelType w:val="hybridMultilevel"/>
    <w:tmpl w:val="C388EA70"/>
    <w:lvl w:ilvl="0" w:tplc="B5981FC2">
      <w:start w:val="20"/>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AA07976"/>
    <w:multiLevelType w:val="hybridMultilevel"/>
    <w:tmpl w:val="7C28B238"/>
    <w:lvl w:ilvl="0" w:tplc="C5F4991E">
      <w:start w:val="20"/>
      <w:numFmt w:val="bullet"/>
      <w:lvlText w:val=""/>
      <w:lvlJc w:val="left"/>
      <w:pPr>
        <w:tabs>
          <w:tab w:val="num" w:pos="720"/>
        </w:tabs>
        <w:ind w:left="720" w:hanging="360"/>
      </w:pPr>
      <w:rPr>
        <w:rFonts w:ascii="Symbol" w:eastAsia="Times New Roman"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E5357AF"/>
    <w:multiLevelType w:val="hybridMultilevel"/>
    <w:tmpl w:val="13F85C10"/>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lowerLetter"/>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F95BFF"/>
    <w:multiLevelType w:val="hybridMultilevel"/>
    <w:tmpl w:val="0E4CD5D6"/>
    <w:lvl w:ilvl="0" w:tplc="2FC4E54A">
      <w:start w:val="56"/>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71A28C2"/>
    <w:multiLevelType w:val="hybridMultilevel"/>
    <w:tmpl w:val="7878EEBE"/>
    <w:lvl w:ilvl="0" w:tplc="77F094CA">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nsid w:val="67F74799"/>
    <w:multiLevelType w:val="hybridMultilevel"/>
    <w:tmpl w:val="368AA386"/>
    <w:lvl w:ilvl="0" w:tplc="9124AF0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9">
    <w:nsid w:val="7BDE54EF"/>
    <w:multiLevelType w:val="hybridMultilevel"/>
    <w:tmpl w:val="E40C3A62"/>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30">
    <w:nsid w:val="7D93431A"/>
    <w:multiLevelType w:val="hybridMultilevel"/>
    <w:tmpl w:val="10D63ED2"/>
    <w:lvl w:ilvl="0" w:tplc="FD4E3A24">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9"/>
  </w:num>
  <w:num w:numId="2">
    <w:abstractNumId w:val="17"/>
  </w:num>
  <w:num w:numId="3">
    <w:abstractNumId w:val="7"/>
  </w:num>
  <w:num w:numId="4">
    <w:abstractNumId w:val="24"/>
  </w:num>
  <w:num w:numId="5">
    <w:abstractNumId w:val="15"/>
  </w:num>
  <w:num w:numId="6">
    <w:abstractNumId w:val="8"/>
  </w:num>
  <w:num w:numId="7">
    <w:abstractNumId w:val="5"/>
  </w:num>
  <w:num w:numId="8">
    <w:abstractNumId w:val="12"/>
  </w:num>
  <w:num w:numId="9">
    <w:abstractNumId w:val="26"/>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7"/>
  </w:num>
  <w:num w:numId="18">
    <w:abstractNumId w:val="2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0"/>
  </w:num>
  <w:num w:numId="22">
    <w:abstractNumId w:val="14"/>
  </w:num>
  <w:num w:numId="23">
    <w:abstractNumId w:val="23"/>
  </w:num>
  <w:num w:numId="24">
    <w:abstractNumId w:val="22"/>
  </w:num>
  <w:num w:numId="25">
    <w:abstractNumId w:val="4"/>
  </w:num>
  <w:num w:numId="26">
    <w:abstractNumId w:val="16"/>
  </w:num>
  <w:num w:numId="27">
    <w:abstractNumId w:val="27"/>
  </w:num>
  <w:num w:numId="28">
    <w:abstractNumId w:val="10"/>
  </w:num>
  <w:num w:numId="29">
    <w:abstractNumId w:val="0"/>
  </w:num>
  <w:num w:numId="30">
    <w:abstractNumId w:val="28"/>
  </w:num>
  <w:num w:numId="31">
    <w:abstractNumId w:val="19"/>
  </w:num>
  <w:num w:numId="32">
    <w:abstractNumId w:val="13"/>
  </w:num>
  <w:num w:numId="33">
    <w:abstractNumId w:val="9"/>
  </w:num>
  <w:num w:numId="34">
    <w:abstractNumId w:val="11"/>
  </w:num>
  <w:num w:numId="35">
    <w:abstractNumId w:val="2"/>
  </w:num>
  <w:num w:numId="36">
    <w:abstractNumId w:val="1"/>
  </w:num>
  <w:num w:numId="37">
    <w:abstractNumId w:val="18"/>
  </w:num>
  <w:num w:numId="38">
    <w:abstractNumId w:val="3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81"/>
    <w:rsid w:val="00006DDC"/>
    <w:rsid w:val="00010DC8"/>
    <w:rsid w:val="00017FDA"/>
    <w:rsid w:val="00047E03"/>
    <w:rsid w:val="00052C7B"/>
    <w:rsid w:val="00080A6B"/>
    <w:rsid w:val="000F0556"/>
    <w:rsid w:val="000F1EB5"/>
    <w:rsid w:val="0010752C"/>
    <w:rsid w:val="00125C02"/>
    <w:rsid w:val="0013792F"/>
    <w:rsid w:val="00170040"/>
    <w:rsid w:val="001A0D26"/>
    <w:rsid w:val="001A730A"/>
    <w:rsid w:val="001B558E"/>
    <w:rsid w:val="001E4B3D"/>
    <w:rsid w:val="001F55A1"/>
    <w:rsid w:val="00202CEE"/>
    <w:rsid w:val="00232481"/>
    <w:rsid w:val="00252F43"/>
    <w:rsid w:val="002800A2"/>
    <w:rsid w:val="00295056"/>
    <w:rsid w:val="002C0FBA"/>
    <w:rsid w:val="002E0128"/>
    <w:rsid w:val="002E46D9"/>
    <w:rsid w:val="00312B44"/>
    <w:rsid w:val="003218A7"/>
    <w:rsid w:val="0032194A"/>
    <w:rsid w:val="00344599"/>
    <w:rsid w:val="0036748D"/>
    <w:rsid w:val="00386BDF"/>
    <w:rsid w:val="003E6D79"/>
    <w:rsid w:val="003F0E82"/>
    <w:rsid w:val="00410E43"/>
    <w:rsid w:val="00437E85"/>
    <w:rsid w:val="00440041"/>
    <w:rsid w:val="004672FD"/>
    <w:rsid w:val="004752F2"/>
    <w:rsid w:val="0049291E"/>
    <w:rsid w:val="004A2192"/>
    <w:rsid w:val="004E5550"/>
    <w:rsid w:val="00544E38"/>
    <w:rsid w:val="00567FFE"/>
    <w:rsid w:val="005A06DB"/>
    <w:rsid w:val="00636C25"/>
    <w:rsid w:val="006448AC"/>
    <w:rsid w:val="00654CB3"/>
    <w:rsid w:val="00673D21"/>
    <w:rsid w:val="00673E1B"/>
    <w:rsid w:val="0068169F"/>
    <w:rsid w:val="00684EB9"/>
    <w:rsid w:val="006E4822"/>
    <w:rsid w:val="006F38EE"/>
    <w:rsid w:val="00706221"/>
    <w:rsid w:val="007762BE"/>
    <w:rsid w:val="00785796"/>
    <w:rsid w:val="00796956"/>
    <w:rsid w:val="007D499A"/>
    <w:rsid w:val="007D6C22"/>
    <w:rsid w:val="007E6D1F"/>
    <w:rsid w:val="00870D7F"/>
    <w:rsid w:val="0087264B"/>
    <w:rsid w:val="008902D6"/>
    <w:rsid w:val="008A27B7"/>
    <w:rsid w:val="008A4872"/>
    <w:rsid w:val="008A6C94"/>
    <w:rsid w:val="00901E99"/>
    <w:rsid w:val="00922892"/>
    <w:rsid w:val="00963AB3"/>
    <w:rsid w:val="009A653C"/>
    <w:rsid w:val="009D2908"/>
    <w:rsid w:val="009E7470"/>
    <w:rsid w:val="009F37EF"/>
    <w:rsid w:val="009F7D56"/>
    <w:rsid w:val="00A03153"/>
    <w:rsid w:val="00A92B9D"/>
    <w:rsid w:val="00AB12FE"/>
    <w:rsid w:val="00AD0C35"/>
    <w:rsid w:val="00AF604D"/>
    <w:rsid w:val="00B0189D"/>
    <w:rsid w:val="00B1472E"/>
    <w:rsid w:val="00B25912"/>
    <w:rsid w:val="00B31135"/>
    <w:rsid w:val="00BA0310"/>
    <w:rsid w:val="00BA265B"/>
    <w:rsid w:val="00BB127E"/>
    <w:rsid w:val="00BD169C"/>
    <w:rsid w:val="00BD69DB"/>
    <w:rsid w:val="00BE77EA"/>
    <w:rsid w:val="00C07BBD"/>
    <w:rsid w:val="00C242C4"/>
    <w:rsid w:val="00C2471A"/>
    <w:rsid w:val="00C265CE"/>
    <w:rsid w:val="00C41BBB"/>
    <w:rsid w:val="00C65D0E"/>
    <w:rsid w:val="00C747CC"/>
    <w:rsid w:val="00C94D35"/>
    <w:rsid w:val="00CB798C"/>
    <w:rsid w:val="00CC5EA6"/>
    <w:rsid w:val="00CE6626"/>
    <w:rsid w:val="00D006C2"/>
    <w:rsid w:val="00D053B3"/>
    <w:rsid w:val="00D11689"/>
    <w:rsid w:val="00D60196"/>
    <w:rsid w:val="00DB5CCB"/>
    <w:rsid w:val="00DE4CC0"/>
    <w:rsid w:val="00DF181E"/>
    <w:rsid w:val="00E24219"/>
    <w:rsid w:val="00E30FA5"/>
    <w:rsid w:val="00E83000"/>
    <w:rsid w:val="00E9603A"/>
    <w:rsid w:val="00EA30E1"/>
    <w:rsid w:val="00EC1396"/>
    <w:rsid w:val="00F05FA1"/>
    <w:rsid w:val="00F74260"/>
    <w:rsid w:val="00FB57D9"/>
    <w:rsid w:val="00FB7430"/>
    <w:rsid w:val="00FC656C"/>
    <w:rsid w:val="00FC73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DEB59-7F61-4B4E-81A4-B9C3D773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0196"/>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9291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aliases w:val="Odsek zoznamu1,Odsek"/>
    <w:basedOn w:val="Normlny"/>
    <w:link w:val="OdsekzoznamuChar"/>
    <w:uiPriority w:val="34"/>
    <w:qFormat/>
    <w:rsid w:val="0049291E"/>
    <w:pPr>
      <w:spacing w:after="200" w:line="276" w:lineRule="auto"/>
      <w:ind w:left="720"/>
      <w:contextualSpacing/>
    </w:pPr>
    <w:rPr>
      <w:rFonts w:asciiTheme="minorHAnsi" w:hAnsiTheme="minorHAnsi" w:cstheme="minorBidi"/>
      <w:sz w:val="22"/>
      <w:szCs w:val="22"/>
      <w:lang w:eastAsia="en-US"/>
    </w:rPr>
  </w:style>
  <w:style w:type="character" w:styleId="Zstupntext">
    <w:name w:val="Placeholder Text"/>
    <w:basedOn w:val="Predvolenpsmoodseku"/>
    <w:uiPriority w:val="99"/>
    <w:rsid w:val="0049291E"/>
    <w:rPr>
      <w:rFonts w:ascii="Times New Roman" w:hAnsi="Times New Roman" w:cs="Times New Roman"/>
      <w:color w:val="808080"/>
    </w:rPr>
  </w:style>
  <w:style w:type="paragraph" w:styleId="Hlavika">
    <w:name w:val="header"/>
    <w:basedOn w:val="Normlny"/>
    <w:link w:val="HlavikaChar"/>
    <w:uiPriority w:val="99"/>
    <w:unhideWhenUsed/>
    <w:rsid w:val="0049291E"/>
    <w:pPr>
      <w:tabs>
        <w:tab w:val="center" w:pos="4536"/>
        <w:tab w:val="right" w:pos="9072"/>
      </w:tabs>
    </w:pPr>
  </w:style>
  <w:style w:type="character" w:customStyle="1" w:styleId="HlavikaChar">
    <w:name w:val="Hlavička Char"/>
    <w:basedOn w:val="Predvolenpsmoodseku"/>
    <w:link w:val="Hlavika"/>
    <w:uiPriority w:val="99"/>
    <w:rsid w:val="0049291E"/>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49291E"/>
    <w:pPr>
      <w:tabs>
        <w:tab w:val="center" w:pos="4536"/>
        <w:tab w:val="right" w:pos="9072"/>
      </w:tabs>
    </w:pPr>
  </w:style>
  <w:style w:type="character" w:customStyle="1" w:styleId="PtaChar">
    <w:name w:val="Päta Char"/>
    <w:basedOn w:val="Predvolenpsmoodseku"/>
    <w:link w:val="Pta"/>
    <w:uiPriority w:val="99"/>
    <w:rsid w:val="0049291E"/>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49291E"/>
    <w:rPr>
      <w:rFonts w:cs="Times New Roman"/>
    </w:rPr>
  </w:style>
  <w:style w:type="paragraph" w:styleId="Normlnywebov">
    <w:name w:val="Normal (Web)"/>
    <w:basedOn w:val="Normlny"/>
    <w:uiPriority w:val="99"/>
    <w:unhideWhenUsed/>
    <w:rsid w:val="00EC1396"/>
    <w:pPr>
      <w:spacing w:before="100" w:beforeAutospacing="1" w:after="100" w:afterAutospacing="1"/>
    </w:pPr>
    <w:rPr>
      <w:sz w:val="24"/>
      <w:szCs w:val="24"/>
    </w:rPr>
  </w:style>
  <w:style w:type="character" w:styleId="Hypertextovprepojenie">
    <w:name w:val="Hyperlink"/>
    <w:basedOn w:val="Predvolenpsmoodseku"/>
    <w:uiPriority w:val="99"/>
    <w:unhideWhenUsed/>
    <w:rsid w:val="009E7470"/>
    <w:rPr>
      <w:color w:val="0563C1" w:themeColor="hyperlink"/>
      <w:u w:val="single"/>
    </w:rPr>
  </w:style>
  <w:style w:type="character" w:customStyle="1" w:styleId="OdsekzoznamuChar">
    <w:name w:val="Odsek zoznamu Char"/>
    <w:aliases w:val="Odsek zoznamu1 Char,Odsek Char"/>
    <w:basedOn w:val="Predvolenpsmoodseku"/>
    <w:link w:val="Odsekzoznamu"/>
    <w:uiPriority w:val="34"/>
    <w:locked/>
    <w:rsid w:val="001B558E"/>
    <w:rPr>
      <w:rFonts w:eastAsia="Times New Roman"/>
    </w:rPr>
  </w:style>
  <w:style w:type="paragraph" w:customStyle="1" w:styleId="Standard">
    <w:name w:val="Standard"/>
    <w:rsid w:val="001B558E"/>
    <w:pPr>
      <w:suppressAutoHyphens/>
      <w:autoSpaceDN w:val="0"/>
      <w:spacing w:after="200" w:line="276" w:lineRule="auto"/>
      <w:textAlignment w:val="baseline"/>
    </w:pPr>
    <w:rPr>
      <w:rFonts w:ascii="Arial Narrow" w:eastAsia="Times New Roman" w:hAnsi="Arial Narrow" w:cs="Arial Narrow"/>
      <w:kern w:val="3"/>
    </w:rPr>
  </w:style>
  <w:style w:type="character" w:styleId="Siln">
    <w:name w:val="Strong"/>
    <w:basedOn w:val="Predvolenpsmoodseku"/>
    <w:uiPriority w:val="22"/>
    <w:qFormat/>
    <w:rsid w:val="001B558E"/>
    <w:rPr>
      <w:b/>
      <w:bCs/>
    </w:rPr>
  </w:style>
  <w:style w:type="character" w:styleId="PouitHypertextovPrepojenie">
    <w:name w:val="FollowedHyperlink"/>
    <w:basedOn w:val="Predvolenpsmoodseku"/>
    <w:uiPriority w:val="99"/>
    <w:semiHidden/>
    <w:unhideWhenUsed/>
    <w:rsid w:val="00252F43"/>
    <w:rPr>
      <w:color w:val="954F72" w:themeColor="followedHyperlink"/>
      <w:u w:val="single"/>
    </w:rPr>
  </w:style>
  <w:style w:type="paragraph" w:customStyle="1" w:styleId="BodyText1">
    <w:name w:val="Body Text1"/>
    <w:qFormat/>
    <w:rsid w:val="00252F43"/>
    <w:pPr>
      <w:spacing w:after="120" w:line="240" w:lineRule="auto"/>
    </w:pPr>
    <w:rPr>
      <w:rFonts w:ascii="Arial" w:eastAsia="Times New Roman" w:hAnsi="Arial" w:cs="Times New Roman"/>
      <w:color w:val="000000"/>
      <w:sz w:val="19"/>
      <w:szCs w:val="48"/>
    </w:rPr>
  </w:style>
  <w:style w:type="paragraph" w:customStyle="1" w:styleId="Deloittebodytext">
    <w:name w:val="Deloitte body text"/>
    <w:qFormat/>
    <w:rsid w:val="00252F43"/>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252F43"/>
    <w:pPr>
      <w:spacing w:before="80" w:after="80"/>
    </w:pPr>
    <w:rPr>
      <w:rFonts w:ascii="Arial" w:eastAsia="Times" w:hAnsi="Arial"/>
      <w:b/>
      <w:noProof/>
      <w:color w:val="FFFFFF"/>
      <w:sz w:val="1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26942">
      <w:bodyDiv w:val="1"/>
      <w:marLeft w:val="0"/>
      <w:marRight w:val="0"/>
      <w:marTop w:val="0"/>
      <w:marBottom w:val="0"/>
      <w:divBdr>
        <w:top w:val="none" w:sz="0" w:space="0" w:color="auto"/>
        <w:left w:val="none" w:sz="0" w:space="0" w:color="auto"/>
        <w:bottom w:val="none" w:sz="0" w:space="0" w:color="auto"/>
        <w:right w:val="none" w:sz="0" w:space="0" w:color="auto"/>
      </w:divBdr>
    </w:div>
    <w:div w:id="783425790">
      <w:bodyDiv w:val="1"/>
      <w:marLeft w:val="0"/>
      <w:marRight w:val="0"/>
      <w:marTop w:val="0"/>
      <w:marBottom w:val="0"/>
      <w:divBdr>
        <w:top w:val="none" w:sz="0" w:space="0" w:color="auto"/>
        <w:left w:val="none" w:sz="0" w:space="0" w:color="auto"/>
        <w:bottom w:val="none" w:sz="0" w:space="0" w:color="auto"/>
        <w:right w:val="none" w:sz="0" w:space="0" w:color="auto"/>
      </w:divBdr>
    </w:div>
    <w:div w:id="895165373">
      <w:bodyDiv w:val="1"/>
      <w:marLeft w:val="0"/>
      <w:marRight w:val="0"/>
      <w:marTop w:val="0"/>
      <w:marBottom w:val="0"/>
      <w:divBdr>
        <w:top w:val="none" w:sz="0" w:space="0" w:color="auto"/>
        <w:left w:val="none" w:sz="0" w:space="0" w:color="auto"/>
        <w:bottom w:val="none" w:sz="0" w:space="0" w:color="auto"/>
        <w:right w:val="none" w:sz="0" w:space="0" w:color="auto"/>
      </w:divBdr>
    </w:div>
    <w:div w:id="985743736">
      <w:bodyDiv w:val="1"/>
      <w:marLeft w:val="0"/>
      <w:marRight w:val="0"/>
      <w:marTop w:val="0"/>
      <w:marBottom w:val="0"/>
      <w:divBdr>
        <w:top w:val="none" w:sz="0" w:space="0" w:color="auto"/>
        <w:left w:val="none" w:sz="0" w:space="0" w:color="auto"/>
        <w:bottom w:val="none" w:sz="0" w:space="0" w:color="auto"/>
        <w:right w:val="none" w:sz="0" w:space="0" w:color="auto"/>
      </w:divBdr>
    </w:div>
    <w:div w:id="17439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conomy.gov.sk/ext_dok-kalkulacka-nakladov-regulacie_final_uzamknuta/147367c"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u.gov.sk/2017/02/16/urad-organizoval-workshop-priprava-zakona-o-kybernetickej-bezpecnosti/index.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lov-lex.sk/legislativne-procesy/SK/PI/2016/58"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odatelna@nbusr.sk"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žka-vybraných-vplyvov"/>
    <f:field ref="objsubject" par="" edit="true" text=""/>
    <f:field ref="objcreatedby" par="" text="Dianišková, Alexandra"/>
    <f:field ref="objcreatedat" par="" text="26.5.2017 17:18:41"/>
    <f:field ref="objchangedby" par="" text="Administrator, System"/>
    <f:field ref="objmodifiedat" par="" text="26.5.2017 17:18:4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E5B6094-34FB-4B83-B6A2-E35674F9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9271</Words>
  <Characters>52848</Characters>
  <Application>Microsoft Office Word</Application>
  <DocSecurity>0</DocSecurity>
  <Lines>440</Lines>
  <Paragraphs>123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61996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Dianišková</dc:creator>
  <cp:keywords/>
  <dc:description/>
  <cp:lastModifiedBy>Roman Konečný</cp:lastModifiedBy>
  <cp:revision>5</cp:revision>
  <dcterms:created xsi:type="dcterms:W3CDTF">2017-10-25T10:13:00Z</dcterms:created>
  <dcterms:modified xsi:type="dcterms:W3CDTF">2017-10-25T10:49:00Z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o&amp;nbsp;kybernetickej bezpečnosti informovaná prostredníctvom webového sídla Národného bezpečnostného úradu a predbežnej informácie k&amp;nbsp;predmetnému návrhu zákona zverejnenej v&amp;nbsp;informačnom systéme vere</vt:lpwstr>
  </property>
  <property fmtid="{D5CDD505-2E9C-101B-9397-08002B2CF9AE}" pid="3" name="FSC#SKEDITIONSLOVLEX@103.510:typpredpis">
    <vt:lpwstr>Zákon</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Alexandra Dianišková</vt:lpwstr>
  </property>
  <property fmtid="{D5CDD505-2E9C-101B-9397-08002B2CF9AE}" pid="12" name="FSC#SKEDITIONSLOVLEX@103.510:zodppredkladatel">
    <vt:lpwstr>Jozef Magala</vt:lpwstr>
  </property>
  <property fmtid="{D5CDD505-2E9C-101B-9397-08002B2CF9AE}" pid="13" name="FSC#SKEDITIONSLOVLEX@103.510:dalsipredkladatel">
    <vt:lpwstr/>
  </property>
  <property fmtid="{D5CDD505-2E9C-101B-9397-08002B2CF9AE}" pid="14" name="FSC#SKEDITIONSLOVLEX@103.510:nazovpredpis">
    <vt:lpwstr> o kybernetickej bezpečnosti a o zmene a doplnení niektorých zákonov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Národný bezpečnostný úrad</vt:lpwstr>
  </property>
  <property fmtid="{D5CDD505-2E9C-101B-9397-08002B2CF9AE}" pid="20" name="FSC#SKEDITIONSLOVLEX@103.510:pripomienkovatelia">
    <vt:lpwstr>Národný bezpečnostný úrad, Národný bezpečnostný úrad, Národný bezpečnostný úrad</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Zákon o kybernetickej bezpečnosti a o zmene a doplnení niektorých zákonov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00406/2017/KÚ/OLP-030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LP/2017/407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114 Zmluvy o fungovaní Európskej únie</vt:lpwstr>
  </property>
  <property fmtid="{D5CDD505-2E9C-101B-9397-08002B2CF9AE}" pid="47" name="FSC#SKEDITIONSLOVLEX@103.510:AttrStrListDocPropSekundarneLegPravoPO">
    <vt:lpwstr>Smernica Európskeho parlamentu a Rady (EÚ) 2016/1148 zo 6. júla 2016 o opatreniach na zabezpečenie vysokej spoločnej úrovne bezpečnosti sietí a informačných systémov v Únii.</vt:lpwstr>
  </property>
  <property fmtid="{D5CDD505-2E9C-101B-9397-08002B2CF9AE}" pid="48" name="FSC#SKEDITIONSLOVLEX@103.510:AttrStrListDocPropSekundarneNelegPravoPO">
    <vt:lpwstr>-</vt:lpwstr>
  </property>
  <property fmtid="{D5CDD505-2E9C-101B-9397-08002B2CF9AE}" pid="49" name="FSC#SKEDITIONSLOVLEX@103.510:AttrStrListDocPropSekundarneLegPravoDO">
    <vt:lpwstr>-</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lehota na prebratie smernice: 9. mája 2018</vt:lpwstr>
  </property>
  <property fmtid="{D5CDD505-2E9C-101B-9397-08002B2CF9AE}" pid="53" name="FSC#SKEDITIONSLOVLEX@103.510:AttrStrListDocPropLehotaNaPredlozenie">
    <vt:lpwstr>15. decembra 2017</vt:lpwstr>
  </property>
  <property fmtid="{D5CDD505-2E9C-101B-9397-08002B2CF9AE}" pid="54" name="FSC#SKEDITIONSLOVLEX@103.510:AttrStrListDocPropInfoZaciatokKonania">
    <vt:lpwstr>-</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Národný bezpečnostný úrad</vt:lpwstr>
  </property>
  <property fmtid="{D5CDD505-2E9C-101B-9397-08002B2CF9AE}" pid="58" name="FSC#SKEDITIONSLOVLEX@103.510:AttrDateDocPropZaciatokPKK">
    <vt:lpwstr>12. 5. 2017</vt:lpwstr>
  </property>
  <property fmtid="{D5CDD505-2E9C-101B-9397-08002B2CF9AE}" pid="59" name="FSC#SKEDITIONSLOVLEX@103.510:AttrDateDocPropUkonceniePKK">
    <vt:lpwstr>19. 5. 2017</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vt:lpwstr>
  </property>
  <property fmtid="{D5CDD505-2E9C-101B-9397-08002B2CF9AE}" pid="66" name="FSC#SKEDITIONSLOVLEX@103.510:AttrStrListDocPropAltRiesenia">
    <vt:lpwstr>Neboli identifikované žiadne alternatívne riešenia.</vt:lpwstr>
  </property>
  <property fmtid="{D5CDD505-2E9C-101B-9397-08002B2CF9AE}" pid="67" name="FSC#SKEDITIONSLOVLEX@103.510:AttrStrListDocPropStanoviskoGest">
    <vt:lpwstr>Stanovisko č. 120/2017 z 19.05.2017Komisia uplatňuje k materiálu nasledovné pripomienky a odporúčania:I. Úvod: Národný bezpečnostný úrad dňa 12.mája 2017 predložilo Stálej pracovnej komisii na posudzovanie vybraných vplyvov (ďalej len „Komisia“) na predbe</vt:lpwstr>
  </property>
  <property fmtid="{D5CDD505-2E9C-101B-9397-08002B2CF9AE}" pid="68" name="FSC#SKEDITIONSLOVLEX@103.510:AttrStrListDocPropTextKomunike">
    <vt:lpwstr>Vláda Slovenskej republiky na svojom rokovaní dňa ....................... prerokovala a schválila návrh zákona o kybernetickej bezpečnosti a o zmene a doplnení niektorých zákonov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 pre investície a informatizáciu</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riaditeľ</vt:lpwstr>
  </property>
  <property fmtid="{D5CDD505-2E9C-101B-9397-08002B2CF9AE}" pid="142" name="FSC#SKEDITIONSLOVLEX@103.510:funkciaZodpPredAkuzativ">
    <vt:lpwstr>riaditeľa</vt:lpwstr>
  </property>
  <property fmtid="{D5CDD505-2E9C-101B-9397-08002B2CF9AE}" pid="143" name="FSC#SKEDITIONSLOVLEX@103.510:funkciaZodpPredDativ">
    <vt:lpwstr>riaditeľovi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Jozef Magala_x000d_
riaditeľ</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&lt;p&gt;Národný bezpečnostný úrad, ako ústredný organ štátnej správy pre kybernetickú bezpečnosť, pripravil na základe schváleného programového vyhlásenia vlády Slovenskej republiky na roky 2016-2020 a v súlade so schválenou Koncepciou kybernetickej bezpečnost</vt:lpwstr>
  </property>
  <property fmtid="{D5CDD505-2E9C-101B-9397-08002B2CF9AE}" pid="150" name="FSC#SKEDITIONSLOVLEX@103.510:vytvorenedna">
    <vt:lpwstr>26. 5. 2017</vt:lpwstr>
  </property>
  <property fmtid="{D5CDD505-2E9C-101B-9397-08002B2CF9AE}" pid="151" name="FSC#COOSYSTEM@1.1:Container">
    <vt:lpwstr>COO.2145.1000.3.1985767</vt:lpwstr>
  </property>
  <property fmtid="{D5CDD505-2E9C-101B-9397-08002B2CF9AE}" pid="152" name="FSC#FSCFOLIO@1.1001:docpropproject">
    <vt:lpwstr/>
  </property>
</Properties>
</file>