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38" w:rsidRPr="00F66238" w:rsidRDefault="00F66238" w:rsidP="00897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6238">
        <w:rPr>
          <w:rFonts w:ascii="Times New Roman" w:hAnsi="Times New Roman" w:cs="Times New Roman"/>
          <w:sz w:val="24"/>
          <w:szCs w:val="24"/>
        </w:rPr>
        <w:t>(Návrh)</w:t>
      </w:r>
    </w:p>
    <w:p w:rsidR="00F66238" w:rsidRPr="00F66238" w:rsidRDefault="00F66238" w:rsidP="00897533">
      <w:pPr>
        <w:pStyle w:val="Normlnywebov"/>
        <w:spacing w:before="0" w:beforeAutospacing="0" w:after="0" w:afterAutospacing="0"/>
        <w:jc w:val="center"/>
        <w:rPr>
          <w:b/>
          <w:bCs/>
          <w:caps/>
          <w:lang w:val="sk-SK"/>
        </w:rPr>
      </w:pPr>
      <w:r>
        <w:rPr>
          <w:b/>
          <w:bCs/>
          <w:caps/>
          <w:lang w:val="sk-SK"/>
        </w:rPr>
        <w:t>VYHLÁŠKA</w:t>
      </w:r>
    </w:p>
    <w:p w:rsidR="00F66238" w:rsidRPr="00F66238" w:rsidRDefault="00F66238" w:rsidP="0089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>Ministerstva zdravotníctva Slovenskej republiky</w:t>
      </w:r>
    </w:p>
    <w:p w:rsidR="00F66238" w:rsidRDefault="00F66238" w:rsidP="00897533">
      <w:pPr>
        <w:pStyle w:val="Normlnywebov"/>
        <w:spacing w:before="0" w:beforeAutospacing="0" w:after="0" w:afterAutospacing="0"/>
        <w:jc w:val="center"/>
        <w:rPr>
          <w:lang w:val="sk-SK"/>
        </w:rPr>
      </w:pPr>
    </w:p>
    <w:p w:rsidR="00F66238" w:rsidRPr="00F66238" w:rsidRDefault="00F66238" w:rsidP="00897533">
      <w:pPr>
        <w:pStyle w:val="Normlnywebov"/>
        <w:spacing w:before="0" w:beforeAutospacing="0" w:after="0" w:afterAutospacing="0"/>
        <w:jc w:val="center"/>
        <w:rPr>
          <w:lang w:val="sk-SK"/>
        </w:rPr>
      </w:pPr>
      <w:r w:rsidRPr="00F66238">
        <w:rPr>
          <w:lang w:val="sk-SK"/>
        </w:rPr>
        <w:t>z ............. 2017,</w:t>
      </w: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38">
        <w:rPr>
          <w:rFonts w:ascii="Times New Roman" w:hAnsi="Times New Roman" w:cs="Times New Roman"/>
          <w:b/>
          <w:sz w:val="24"/>
          <w:szCs w:val="24"/>
        </w:rPr>
        <w:t xml:space="preserve">ktorou sa mení a dopĺňa vyhláška Ministerstva zdravotníctva Slovenskej republiky </w:t>
      </w:r>
      <w:r w:rsidR="00EA54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66238">
        <w:rPr>
          <w:rFonts w:ascii="Times New Roman" w:hAnsi="Times New Roman" w:cs="Times New Roman"/>
          <w:b/>
          <w:sz w:val="24"/>
          <w:szCs w:val="24"/>
        </w:rPr>
        <w:t>č. 267/2012 Z. z., ktorou sa ustanovujú podrobnosti o mesačnom prerozdeľovaní preddavkov na poistné na verejné zdravotné poistenie a o ročnom prerozdeľovaní poistného na verejné zdravotné poistenie</w:t>
      </w: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ab/>
        <w:t>Ministerstvo zdravotníctva Slovenskej republiky podľa § 28 ods. 14 písm. a) zákona č. 580/2004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/>
          <w:sz w:val="24"/>
          <w:szCs w:val="24"/>
        </w:rPr>
        <w:t>z. o zdravotnom poistení a o zmene a doplnení zákona č. 95/2002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/>
          <w:sz w:val="24"/>
          <w:szCs w:val="24"/>
        </w:rPr>
        <w:t xml:space="preserve">z. o poisťovníctve a o zmene a doplnení niektorých zákonov v znení </w:t>
      </w:r>
      <w:r>
        <w:rPr>
          <w:rFonts w:ascii="Times New Roman" w:hAnsi="Times New Roman" w:cs="Times New Roman"/>
          <w:sz w:val="24"/>
          <w:szCs w:val="24"/>
        </w:rPr>
        <w:t>neskorších predpisov</w:t>
      </w:r>
      <w:r w:rsidRPr="00F66238">
        <w:rPr>
          <w:rFonts w:ascii="Times New Roman" w:hAnsi="Times New Roman" w:cs="Times New Roman"/>
          <w:sz w:val="24"/>
          <w:szCs w:val="24"/>
        </w:rPr>
        <w:t xml:space="preserve"> po dohode s Ministerstvom financií Slovenskej republiky ustanovuje:</w:t>
      </w: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/>
          <w:sz w:val="24"/>
          <w:szCs w:val="24"/>
        </w:rPr>
        <w:t>I</w:t>
      </w: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ab/>
        <w:t>Vyhláška Ministerstva zdravotníctva Slovenskej republiky č. 267/2012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/>
          <w:sz w:val="24"/>
          <w:szCs w:val="24"/>
        </w:rPr>
        <w:t xml:space="preserve">z., ktorou sa ustanovujú podrobnosti o mesačnom prerozdeľovaní preddavkov na poistné na verejné zdravotné poistenie a o ročnom prerozdeľovaní poistného na verejné zdravotné poistenie </w:t>
      </w:r>
      <w:r>
        <w:rPr>
          <w:rFonts w:ascii="Times New Roman" w:hAnsi="Times New Roman" w:cs="Times New Roman"/>
          <w:sz w:val="24"/>
          <w:szCs w:val="24"/>
        </w:rPr>
        <w:t xml:space="preserve">v znení vyhlášky č. 127/2013 Z. z. </w:t>
      </w:r>
      <w:r w:rsidRPr="00F66238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F66238" w:rsidRPr="00F66238" w:rsidRDefault="00F6623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38" w:rsidRDefault="00CD5688" w:rsidP="00445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 w:rsidR="00AB7BA5">
        <w:rPr>
          <w:rFonts w:ascii="Times New Roman" w:hAnsi="Times New Roman" w:cs="Times New Roman"/>
          <w:sz w:val="24"/>
          <w:szCs w:val="24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 xml:space="preserve">odsek 1 </w:t>
      </w:r>
      <w:r w:rsidR="00AB7BA5">
        <w:rPr>
          <w:rFonts w:ascii="Times New Roman" w:hAnsi="Times New Roman" w:cs="Times New Roman"/>
          <w:sz w:val="24"/>
          <w:szCs w:val="24"/>
        </w:rPr>
        <w:t>znie:</w:t>
      </w:r>
    </w:p>
    <w:p w:rsidR="00AB7BA5" w:rsidRDefault="00AB7BA5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05" w:rsidRPr="00F66238" w:rsidRDefault="00AB7BA5" w:rsidP="00AB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="00CD5688">
        <w:rPr>
          <w:rFonts w:ascii="Times New Roman" w:hAnsi="Times New Roman" w:cs="Times New Roman"/>
          <w:sz w:val="24"/>
          <w:szCs w:val="24"/>
        </w:rPr>
        <w:t>Celková suma poistného p</w:t>
      </w:r>
      <w:r w:rsidRPr="008353EE">
        <w:rPr>
          <w:rFonts w:ascii="Times New Roman" w:hAnsi="Times New Roman" w:cs="Times New Roman"/>
          <w:sz w:val="24"/>
          <w:szCs w:val="24"/>
        </w:rPr>
        <w:t xml:space="preserve">odľa § 27a ods. 2 </w:t>
      </w:r>
      <w:r w:rsidR="00CD5688">
        <w:rPr>
          <w:rFonts w:ascii="Times New Roman" w:hAnsi="Times New Roman" w:cs="Times New Roman"/>
          <w:sz w:val="24"/>
          <w:szCs w:val="24"/>
        </w:rPr>
        <w:t>písmeno a) zákona sa oznamuje</w:t>
      </w:r>
      <w:r w:rsidRPr="00F66238">
        <w:rPr>
          <w:rFonts w:ascii="Times New Roman" w:hAnsi="Times New Roman" w:cs="Times New Roman"/>
          <w:sz w:val="24"/>
          <w:szCs w:val="24"/>
        </w:rPr>
        <w:t xml:space="preserve"> úradu do 30. novembra kalendárneho roka nasledujúceho po rozhodujúcom období, za ktoré sa uskutoční ročné prerozdeľovanie poistného na verejné zdravotné poistenie (ďale</w:t>
      </w:r>
      <w:r w:rsidR="00CD5688">
        <w:rPr>
          <w:rFonts w:ascii="Times New Roman" w:hAnsi="Times New Roman" w:cs="Times New Roman"/>
          <w:sz w:val="24"/>
          <w:szCs w:val="24"/>
        </w:rPr>
        <w:t xml:space="preserve">j len "ročné prerozdeľovanie") </w:t>
      </w:r>
      <w:r w:rsidR="008353EE" w:rsidRPr="00F66238">
        <w:rPr>
          <w:rFonts w:ascii="Times New Roman" w:hAnsi="Times New Roman" w:cs="Times New Roman"/>
          <w:sz w:val="24"/>
          <w:szCs w:val="24"/>
        </w:rPr>
        <w:t>na tlačive, ktorého vzor je uvedený v</w:t>
      </w:r>
      <w:r w:rsidR="008353EE">
        <w:rPr>
          <w:rFonts w:ascii="Times New Roman" w:hAnsi="Times New Roman" w:cs="Times New Roman"/>
          <w:sz w:val="24"/>
          <w:szCs w:val="24"/>
        </w:rPr>
        <w:t> časti A prílohy</w:t>
      </w:r>
      <w:r w:rsidR="008353EE" w:rsidRPr="00F66238">
        <w:rPr>
          <w:rFonts w:ascii="Times New Roman" w:hAnsi="Times New Roman" w:cs="Times New Roman"/>
          <w:sz w:val="24"/>
          <w:szCs w:val="24"/>
        </w:rPr>
        <w:t xml:space="preserve"> č. 5</w:t>
      </w:r>
      <w:r w:rsidR="00CD5688">
        <w:rPr>
          <w:rFonts w:ascii="Times New Roman" w:hAnsi="Times New Roman" w:cs="Times New Roman"/>
          <w:sz w:val="24"/>
          <w:szCs w:val="24"/>
        </w:rPr>
        <w:t>.</w:t>
      </w:r>
      <w:r w:rsidRPr="00F6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A5" w:rsidRPr="00F66238" w:rsidRDefault="00AB7BA5" w:rsidP="00AB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88" w:rsidRDefault="00AB7BA5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F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5688">
        <w:rPr>
          <w:rFonts w:ascii="Times New Roman" w:hAnsi="Times New Roman" w:cs="Times New Roman"/>
          <w:sz w:val="24"/>
          <w:szCs w:val="24"/>
        </w:rPr>
        <w:t>V § 3 sa za odsek 2 vkladajú nové odseky 3 a </w:t>
      </w:r>
      <w:r w:rsidR="00BC7C6F">
        <w:rPr>
          <w:rFonts w:ascii="Times New Roman" w:hAnsi="Times New Roman" w:cs="Times New Roman"/>
          <w:sz w:val="24"/>
          <w:szCs w:val="24"/>
        </w:rPr>
        <w:t>4</w:t>
      </w:r>
      <w:r w:rsidR="00CD5688">
        <w:rPr>
          <w:rFonts w:ascii="Times New Roman" w:hAnsi="Times New Roman" w:cs="Times New Roman"/>
          <w:sz w:val="24"/>
          <w:szCs w:val="24"/>
        </w:rPr>
        <w:t>, ktoré znejú:</w:t>
      </w:r>
    </w:p>
    <w:p w:rsidR="00CD5688" w:rsidRDefault="00CD568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838" w:rsidRPr="00AF5B67" w:rsidRDefault="00CD5688" w:rsidP="00EE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„</w:t>
      </w:r>
      <w:r w:rsidR="00EE136A" w:rsidRPr="00AF5B67">
        <w:rPr>
          <w:rFonts w:ascii="Times New Roman" w:hAnsi="Times New Roman" w:cs="Times New Roman"/>
          <w:sz w:val="24"/>
          <w:szCs w:val="24"/>
        </w:rPr>
        <w:t>(3) Údaje podľa § 27a ods. 3 zákona úrad rozdelí podľa pohlavia a</w:t>
      </w:r>
      <w:r w:rsidR="00272FF3" w:rsidRPr="00AF5B67">
        <w:rPr>
          <w:rFonts w:ascii="Times New Roman" w:hAnsi="Times New Roman" w:cs="Times New Roman"/>
          <w:sz w:val="24"/>
          <w:szCs w:val="24"/>
        </w:rPr>
        <w:t> </w:t>
      </w:r>
      <w:r w:rsidR="00EE136A" w:rsidRPr="00AF5B67">
        <w:rPr>
          <w:rFonts w:ascii="Times New Roman" w:hAnsi="Times New Roman" w:cs="Times New Roman"/>
          <w:sz w:val="24"/>
          <w:szCs w:val="24"/>
        </w:rPr>
        <w:t>veku</w:t>
      </w:r>
      <w:r w:rsidR="00272FF3" w:rsidRPr="00AF5B67">
        <w:rPr>
          <w:rFonts w:ascii="Times New Roman" w:hAnsi="Times New Roman" w:cs="Times New Roman"/>
          <w:sz w:val="24"/>
          <w:szCs w:val="24"/>
        </w:rPr>
        <w:t xml:space="preserve"> poistencov</w:t>
      </w:r>
      <w:r w:rsidR="00EE136A" w:rsidRPr="00AF5B67">
        <w:rPr>
          <w:rFonts w:ascii="Times New Roman" w:hAnsi="Times New Roman" w:cs="Times New Roman"/>
          <w:sz w:val="24"/>
          <w:szCs w:val="24"/>
        </w:rPr>
        <w:t xml:space="preserve">, za ktorých platiteľom poistného je štát a za ktorých platiteľom poistného nie je štát podľa § 11 ods. 1 písm. a) až </w:t>
      </w:r>
      <w:r w:rsidR="00EA1100" w:rsidRPr="00AF5B67">
        <w:rPr>
          <w:rFonts w:ascii="Times New Roman" w:hAnsi="Times New Roman" w:cs="Times New Roman"/>
          <w:sz w:val="24"/>
          <w:szCs w:val="24"/>
        </w:rPr>
        <w:t>c)</w:t>
      </w:r>
      <w:r w:rsidR="00EE136A" w:rsidRPr="00AF5B67">
        <w:rPr>
          <w:rFonts w:ascii="Times New Roman" w:hAnsi="Times New Roman" w:cs="Times New Roman"/>
          <w:sz w:val="24"/>
          <w:szCs w:val="24"/>
        </w:rPr>
        <w:t xml:space="preserve">) a </w:t>
      </w:r>
      <w:r w:rsidR="00517209" w:rsidRPr="00AF5B67">
        <w:rPr>
          <w:rFonts w:ascii="Times New Roman" w:hAnsi="Times New Roman" w:cs="Times New Roman"/>
          <w:sz w:val="24"/>
          <w:szCs w:val="24"/>
        </w:rPr>
        <w:t xml:space="preserve">§ 11 </w:t>
      </w:r>
      <w:r w:rsidR="00EE136A" w:rsidRPr="00AF5B67">
        <w:rPr>
          <w:rFonts w:ascii="Times New Roman" w:hAnsi="Times New Roman" w:cs="Times New Roman"/>
          <w:sz w:val="24"/>
          <w:szCs w:val="24"/>
        </w:rPr>
        <w:t>ods</w:t>
      </w:r>
      <w:r w:rsidR="00517209" w:rsidRPr="00AF5B67">
        <w:rPr>
          <w:rFonts w:ascii="Times New Roman" w:hAnsi="Times New Roman" w:cs="Times New Roman"/>
          <w:sz w:val="24"/>
          <w:szCs w:val="24"/>
        </w:rPr>
        <w:t>.</w:t>
      </w:r>
      <w:r w:rsidR="00EE136A" w:rsidRPr="00AF5B67">
        <w:rPr>
          <w:rFonts w:ascii="Times New Roman" w:hAnsi="Times New Roman" w:cs="Times New Roman"/>
          <w:sz w:val="24"/>
          <w:szCs w:val="24"/>
        </w:rPr>
        <w:t xml:space="preserve"> 2 zákona</w:t>
      </w:r>
      <w:r w:rsidR="00597A18" w:rsidRPr="00AF5B67">
        <w:rPr>
          <w:rFonts w:ascii="Times New Roman" w:hAnsi="Times New Roman" w:cs="Times New Roman"/>
          <w:sz w:val="24"/>
          <w:szCs w:val="24"/>
        </w:rPr>
        <w:t xml:space="preserve"> </w:t>
      </w:r>
      <w:r w:rsidR="00EA547D" w:rsidRPr="00AF5B67">
        <w:rPr>
          <w:rFonts w:ascii="Times New Roman" w:hAnsi="Times New Roman" w:cs="Times New Roman"/>
          <w:sz w:val="24"/>
          <w:szCs w:val="24"/>
        </w:rPr>
        <w:t xml:space="preserve">v členení </w:t>
      </w:r>
      <w:r w:rsidR="00597A18" w:rsidRPr="00AF5B67">
        <w:rPr>
          <w:rFonts w:ascii="Times New Roman" w:hAnsi="Times New Roman" w:cs="Times New Roman"/>
          <w:sz w:val="24"/>
          <w:szCs w:val="24"/>
        </w:rPr>
        <w:t>podľa časti B prílohy č. 5</w:t>
      </w:r>
      <w:r w:rsidR="00EF0838" w:rsidRPr="00AF5B67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EF0838" w:rsidRPr="00AF5B67" w:rsidRDefault="00EF0838" w:rsidP="00F0197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67">
        <w:rPr>
          <w:rFonts w:ascii="Times New Roman" w:eastAsia="Times New Roman" w:hAnsi="Times New Roman" w:cs="Times New Roman"/>
          <w:sz w:val="24"/>
          <w:szCs w:val="24"/>
        </w:rPr>
        <w:t>počet poistencov podľa pohlavia a veku, za ktorých platiteľom poistného nie je štát</w:t>
      </w:r>
      <w:r w:rsidR="00D02516" w:rsidRPr="00AF5B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5B67">
        <w:rPr>
          <w:rFonts w:ascii="Times New Roman" w:eastAsia="Times New Roman" w:hAnsi="Times New Roman" w:cs="Times New Roman"/>
          <w:sz w:val="24"/>
          <w:szCs w:val="24"/>
        </w:rPr>
        <w:t xml:space="preserve"> je vypočítaný ako </w:t>
      </w:r>
      <w:r w:rsidR="00847ADD" w:rsidRPr="00AF5B67">
        <w:rPr>
          <w:rFonts w:ascii="Times New Roman" w:eastAsia="Times New Roman" w:hAnsi="Times New Roman" w:cs="Times New Roman"/>
          <w:sz w:val="24"/>
          <w:szCs w:val="24"/>
        </w:rPr>
        <w:t xml:space="preserve">súčet </w:t>
      </w:r>
      <w:r w:rsidR="00304A12" w:rsidRPr="00AF5B67">
        <w:rPr>
          <w:rFonts w:ascii="Times New Roman" w:eastAsia="Times New Roman" w:hAnsi="Times New Roman" w:cs="Times New Roman"/>
          <w:sz w:val="24"/>
          <w:szCs w:val="24"/>
        </w:rPr>
        <w:t xml:space="preserve">týchto </w:t>
      </w:r>
      <w:r w:rsidR="00847ADD" w:rsidRPr="00AF5B67">
        <w:rPr>
          <w:rFonts w:ascii="Times New Roman" w:eastAsia="Times New Roman" w:hAnsi="Times New Roman" w:cs="Times New Roman"/>
          <w:sz w:val="24"/>
          <w:szCs w:val="24"/>
        </w:rPr>
        <w:t xml:space="preserve">poistencov podľa pohlavia a veku za jednotlivé kalendárne mesiace rozhodujúceho obdobia. </w:t>
      </w:r>
      <w:r w:rsidR="00304A12" w:rsidRPr="00AF5B67">
        <w:rPr>
          <w:rFonts w:ascii="Times New Roman" w:eastAsia="Times New Roman" w:hAnsi="Times New Roman" w:cs="Times New Roman"/>
          <w:sz w:val="24"/>
          <w:szCs w:val="24"/>
        </w:rPr>
        <w:t>Za jednotlivé kalendárne mesiace rozhodujúceho obdobia je počet poistencov podľa pohlavia a veku, za ktorých platiteľom poistného nie je štát, vypočítaný ako</w:t>
      </w:r>
      <w:r w:rsidR="00847ADD" w:rsidRPr="00AF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B67">
        <w:rPr>
          <w:rFonts w:ascii="Times New Roman" w:eastAsia="Times New Roman" w:hAnsi="Times New Roman" w:cs="Times New Roman"/>
          <w:sz w:val="24"/>
          <w:szCs w:val="24"/>
        </w:rPr>
        <w:t xml:space="preserve">súčet denných stavov týchto poistencov v príslušnom </w:t>
      </w:r>
      <w:r w:rsidR="00304A12" w:rsidRPr="00AF5B67">
        <w:rPr>
          <w:rFonts w:ascii="Times New Roman" w:eastAsia="Times New Roman" w:hAnsi="Times New Roman" w:cs="Times New Roman"/>
          <w:sz w:val="24"/>
          <w:szCs w:val="24"/>
        </w:rPr>
        <w:t>kalendárnom mesiaci</w:t>
      </w:r>
      <w:r w:rsidRPr="00AF5B67">
        <w:rPr>
          <w:rFonts w:ascii="Times New Roman" w:eastAsia="Times New Roman" w:hAnsi="Times New Roman" w:cs="Times New Roman"/>
          <w:sz w:val="24"/>
          <w:szCs w:val="24"/>
        </w:rPr>
        <w:t xml:space="preserve"> vydelený počtom dní v príslušnom </w:t>
      </w:r>
      <w:r w:rsidR="00304A12" w:rsidRPr="00AF5B67">
        <w:rPr>
          <w:rFonts w:ascii="Times New Roman" w:eastAsia="Times New Roman" w:hAnsi="Times New Roman" w:cs="Times New Roman"/>
          <w:sz w:val="24"/>
          <w:szCs w:val="24"/>
        </w:rPr>
        <w:t>kalendárnom mesiaci</w:t>
      </w:r>
      <w:r w:rsidRPr="00AF5B67">
        <w:rPr>
          <w:rFonts w:ascii="Times New Roman" w:eastAsia="Times New Roman" w:hAnsi="Times New Roman" w:cs="Times New Roman"/>
          <w:sz w:val="24"/>
          <w:szCs w:val="24"/>
        </w:rPr>
        <w:t>, zaokrúh</w:t>
      </w:r>
      <w:r w:rsidR="00D02516" w:rsidRPr="00AF5B67">
        <w:rPr>
          <w:rFonts w:ascii="Times New Roman" w:eastAsia="Times New Roman" w:hAnsi="Times New Roman" w:cs="Times New Roman"/>
          <w:sz w:val="24"/>
          <w:szCs w:val="24"/>
        </w:rPr>
        <w:t>lený na celé čísla smerom nadol. Vek</w:t>
      </w:r>
      <w:r w:rsidR="00F0197B" w:rsidRPr="00AF5B67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02516" w:rsidRPr="00AF5B67">
        <w:rPr>
          <w:rFonts w:ascii="Times New Roman" w:eastAsia="Times New Roman" w:hAnsi="Times New Roman" w:cs="Times New Roman"/>
          <w:sz w:val="24"/>
          <w:szCs w:val="24"/>
        </w:rPr>
        <w:t xml:space="preserve"> poistenca sa </w:t>
      </w:r>
      <w:r w:rsidR="00F0197B" w:rsidRPr="00AF5B67">
        <w:rPr>
          <w:rFonts w:ascii="Times New Roman" w:eastAsia="Times New Roman" w:hAnsi="Times New Roman" w:cs="Times New Roman"/>
          <w:sz w:val="24"/>
          <w:szCs w:val="24"/>
        </w:rPr>
        <w:t>rozumie jeho vek</w:t>
      </w:r>
      <w:r w:rsidR="00D02516" w:rsidRPr="00AF5B67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F0197B" w:rsidRPr="00AF5B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516" w:rsidRPr="00AF5B67">
        <w:rPr>
          <w:rFonts w:ascii="Times New Roman" w:eastAsia="Times New Roman" w:hAnsi="Times New Roman" w:cs="Times New Roman"/>
          <w:sz w:val="24"/>
          <w:szCs w:val="24"/>
        </w:rPr>
        <w:t>rozhoduj</w:t>
      </w:r>
      <w:r w:rsidR="00F0197B" w:rsidRPr="00AF5B67">
        <w:rPr>
          <w:rFonts w:ascii="Times New Roman" w:eastAsia="Times New Roman" w:hAnsi="Times New Roman" w:cs="Times New Roman"/>
          <w:sz w:val="24"/>
          <w:szCs w:val="24"/>
        </w:rPr>
        <w:t>úcom období,</w:t>
      </w:r>
      <w:r w:rsidR="00D02516" w:rsidRPr="00AF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B67">
        <w:rPr>
          <w:rFonts w:ascii="Times New Roman" w:eastAsia="Times New Roman" w:hAnsi="Times New Roman" w:cs="Times New Roman"/>
          <w:sz w:val="24"/>
          <w:szCs w:val="24"/>
        </w:rPr>
        <w:t xml:space="preserve">poistenec sa zaradí do vyššej vekovej skupiny prvým dňom kalendárneho mesiaca, ktorý nasleduje po kalendárnom mesiaci, v ktorom dosiahol vek rozhodujúci pre zaradenie do vyššej vekovej skupiny, </w:t>
      </w:r>
    </w:p>
    <w:p w:rsidR="00F0197B" w:rsidRPr="00AF5B67" w:rsidRDefault="00F0197B" w:rsidP="00F0197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67">
        <w:rPr>
          <w:rFonts w:ascii="Times New Roman" w:eastAsia="Times New Roman" w:hAnsi="Times New Roman" w:cs="Times New Roman"/>
          <w:sz w:val="24"/>
          <w:szCs w:val="24"/>
        </w:rPr>
        <w:t xml:space="preserve">počet poistencov podľa pohlavia a veku, za ktorých platiteľom poistného je štát, je vypočítaný ako súčet týchto poistencov podľa pohlavia a veku za jednotlivé kalendárne mesiace rozhodujúceho obdobia. Za jednotlivé kalendárne mesiace rozhodujúceho obdobia je počet poistencov podľa pohlavia a veku, za ktorých platiteľom poistného je štát, vypočítaný ako súčet denných stavov týchto poistencov v príslušnom kalendárnom </w:t>
      </w:r>
      <w:r w:rsidRPr="00AF5B67">
        <w:rPr>
          <w:rFonts w:ascii="Times New Roman" w:eastAsia="Times New Roman" w:hAnsi="Times New Roman" w:cs="Times New Roman"/>
          <w:sz w:val="24"/>
          <w:szCs w:val="24"/>
        </w:rPr>
        <w:lastRenderedPageBreak/>
        <w:t>mesiaci vydelený počtom dní v príslušnom kalendárnom mesiaci, zaokrúhlený na celé čísla smerom nadol. Vekom poistenca sa rozumie jeho vek v rozhodujúcom období,  poistenec sa zaradí do vyššej vekovej skupiny prvým dňom kalendárneho mesiaca, ktorý nasleduje po kalendárnom mesiaci, v ktorom dosiahol vek rozhodujúci pre zaradenie do vyššej vekovej skupiny</w:t>
      </w:r>
      <w:r w:rsidR="00AF5B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97B" w:rsidRPr="00AF5B67" w:rsidRDefault="00F0197B" w:rsidP="00F0197B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688" w:rsidRDefault="00CD5688" w:rsidP="00CD5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Prílohou rozhodnutia úradu podľa §</w:t>
      </w:r>
      <w:r w:rsidR="00390723">
        <w:rPr>
          <w:rFonts w:ascii="Times New Roman" w:hAnsi="Times New Roman" w:cs="Times New Roman"/>
          <w:sz w:val="24"/>
          <w:szCs w:val="24"/>
        </w:rPr>
        <w:t xml:space="preserve"> 27a ods. 10</w:t>
      </w:r>
      <w:r>
        <w:rPr>
          <w:rFonts w:ascii="Times New Roman" w:hAnsi="Times New Roman" w:cs="Times New Roman"/>
          <w:sz w:val="24"/>
          <w:szCs w:val="24"/>
        </w:rPr>
        <w:t xml:space="preserve"> zákona je fotokópia tlačiva z prílohy č. 5 časti A doručen</w:t>
      </w:r>
      <w:r w:rsidR="00BC7C6F">
        <w:rPr>
          <w:rFonts w:ascii="Times New Roman" w:hAnsi="Times New Roman" w:cs="Times New Roman"/>
          <w:sz w:val="24"/>
          <w:szCs w:val="24"/>
        </w:rPr>
        <w:t>é</w:t>
      </w:r>
      <w:r w:rsidR="00C123C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úrad</w:t>
      </w:r>
      <w:r w:rsidR="001244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všetkými zdravotnými poisťovňami.“.  </w:t>
      </w:r>
    </w:p>
    <w:p w:rsidR="00CD5688" w:rsidRDefault="00CD568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88" w:rsidRDefault="00CD568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odsek 3 sa označuje ako odsek 5.</w:t>
      </w:r>
    </w:p>
    <w:p w:rsidR="00CD5688" w:rsidRDefault="00CD5688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5" w:rsidRDefault="00F66238" w:rsidP="00FE4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1675">
        <w:rPr>
          <w:rFonts w:ascii="Times New Roman" w:hAnsi="Times New Roman" w:cs="Times New Roman"/>
          <w:sz w:val="24"/>
          <w:szCs w:val="24"/>
        </w:rPr>
        <w:t>V prílohe č. 5 sa dopĺňa nová časť A, ktorá vrátane nadpisu znie:</w:t>
      </w:r>
    </w:p>
    <w:p w:rsidR="002B625E" w:rsidRDefault="002B625E" w:rsidP="00C4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5" w:rsidRDefault="002B625E" w:rsidP="00C4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„Príloha č. 5 k vyhláške č. 267/2012 Z. z. časť A - </w:t>
      </w:r>
      <w:r w:rsidR="00C41675" w:rsidRPr="00541A76">
        <w:rPr>
          <w:rFonts w:ascii="Times New Roman" w:hAnsi="Times New Roman" w:cs="Times New Roman"/>
          <w:sz w:val="24"/>
          <w:szCs w:val="24"/>
        </w:rPr>
        <w:t>O</w:t>
      </w:r>
      <w:r w:rsidR="00C41675">
        <w:rPr>
          <w:rFonts w:ascii="Times New Roman" w:hAnsi="Times New Roman" w:cs="Times New Roman"/>
          <w:sz w:val="24"/>
          <w:szCs w:val="24"/>
        </w:rPr>
        <w:t xml:space="preserve">známenie </w:t>
      </w:r>
      <w:r w:rsidR="00C41675" w:rsidRPr="00541A76">
        <w:rPr>
          <w:rFonts w:ascii="Times New Roman" w:hAnsi="Times New Roman" w:cs="Times New Roman"/>
          <w:sz w:val="24"/>
          <w:szCs w:val="24"/>
        </w:rPr>
        <w:t xml:space="preserve">k ročnému prerozdeľovaniu poistného na verejné zdravotné poistenie podľa § 27a ods. 2 písm. </w:t>
      </w:r>
      <w:r w:rsidR="00C41675">
        <w:rPr>
          <w:rFonts w:ascii="Times New Roman" w:hAnsi="Times New Roman" w:cs="Times New Roman"/>
          <w:sz w:val="24"/>
          <w:szCs w:val="24"/>
        </w:rPr>
        <w:t>a)</w:t>
      </w:r>
      <w:r w:rsidR="00C41675" w:rsidRPr="00541A76">
        <w:rPr>
          <w:rFonts w:ascii="Times New Roman" w:hAnsi="Times New Roman" w:cs="Times New Roman"/>
          <w:sz w:val="24"/>
          <w:szCs w:val="24"/>
        </w:rPr>
        <w:t xml:space="preserve"> zákona za rok.............</w:t>
      </w:r>
      <w:r w:rsidR="00C41675">
        <w:rPr>
          <w:rFonts w:ascii="Times New Roman" w:hAnsi="Times New Roman" w:cs="Times New Roman"/>
          <w:sz w:val="24"/>
          <w:szCs w:val="24"/>
        </w:rPr>
        <w:t>“</w:t>
      </w:r>
    </w:p>
    <w:p w:rsidR="00C41675" w:rsidRDefault="00C41675" w:rsidP="00C4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6F" w:rsidRDefault="006C5535" w:rsidP="00C4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9E">
        <w:rPr>
          <w:rFonts w:ascii="Times New Roman" w:hAnsi="Times New Roman" w:cs="Times New Roman"/>
          <w:sz w:val="24"/>
          <w:szCs w:val="24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5" o:title=""/>
          </v:shape>
          <o:OLEObject Type="Embed" ProgID="Excel.Sheet.12" ShapeID="_x0000_i1025" DrawAspect="Icon" ObjectID="_1563722933" r:id="rId6"/>
        </w:object>
      </w:r>
    </w:p>
    <w:p w:rsidR="00C41675" w:rsidRDefault="00C41675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65" w:rsidRDefault="008D1865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76" w:rsidRDefault="00C41675" w:rsidP="00C41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1A76">
        <w:rPr>
          <w:rFonts w:ascii="Times New Roman" w:hAnsi="Times New Roman" w:cs="Times New Roman"/>
          <w:sz w:val="24"/>
          <w:szCs w:val="24"/>
        </w:rPr>
        <w:t>Doterajšie znenie prílohy č. 5 sa označuje ako „</w:t>
      </w:r>
      <w:r>
        <w:rPr>
          <w:rFonts w:ascii="Times New Roman" w:hAnsi="Times New Roman" w:cs="Times New Roman"/>
          <w:sz w:val="24"/>
          <w:szCs w:val="24"/>
        </w:rPr>
        <w:t>časť B</w:t>
      </w:r>
      <w:r w:rsidR="00541A76">
        <w:rPr>
          <w:rFonts w:ascii="Times New Roman" w:hAnsi="Times New Roman" w:cs="Times New Roman"/>
          <w:sz w:val="24"/>
          <w:szCs w:val="24"/>
        </w:rPr>
        <w:t xml:space="preserve">“. Nadpis nad tabuľkou </w:t>
      </w:r>
      <w:r>
        <w:rPr>
          <w:rFonts w:ascii="Times New Roman" w:hAnsi="Times New Roman" w:cs="Times New Roman"/>
          <w:sz w:val="24"/>
          <w:szCs w:val="24"/>
        </w:rPr>
        <w:t xml:space="preserve">sa mení a </w:t>
      </w:r>
      <w:r w:rsidR="00541A76">
        <w:rPr>
          <w:rFonts w:ascii="Times New Roman" w:hAnsi="Times New Roman" w:cs="Times New Roman"/>
          <w:sz w:val="24"/>
          <w:szCs w:val="24"/>
        </w:rPr>
        <w:t>znie: „</w:t>
      </w:r>
      <w:r w:rsidR="002B625E">
        <w:rPr>
          <w:rFonts w:ascii="Times New Roman" w:hAnsi="Times New Roman" w:cs="Times New Roman"/>
          <w:sz w:val="24"/>
          <w:szCs w:val="24"/>
        </w:rPr>
        <w:t xml:space="preserve">Časť B </w:t>
      </w:r>
      <w:r w:rsidR="00F701D8">
        <w:rPr>
          <w:rFonts w:ascii="Times New Roman" w:hAnsi="Times New Roman" w:cs="Times New Roman"/>
          <w:sz w:val="24"/>
          <w:szCs w:val="24"/>
        </w:rPr>
        <w:t>–</w:t>
      </w:r>
      <w:r w:rsidR="002B625E">
        <w:rPr>
          <w:rFonts w:ascii="Times New Roman" w:hAnsi="Times New Roman" w:cs="Times New Roman"/>
          <w:sz w:val="24"/>
          <w:szCs w:val="24"/>
        </w:rPr>
        <w:t xml:space="preserve"> </w:t>
      </w:r>
      <w:r w:rsidR="00F701D8">
        <w:rPr>
          <w:rFonts w:ascii="Times New Roman" w:hAnsi="Times New Roman" w:cs="Times New Roman"/>
          <w:sz w:val="24"/>
          <w:szCs w:val="24"/>
        </w:rPr>
        <w:t xml:space="preserve">Údaje podľa § 27a ods. 3 </w:t>
      </w:r>
      <w:r w:rsidR="00541A76" w:rsidRPr="00541A76">
        <w:rPr>
          <w:rFonts w:ascii="Times New Roman" w:hAnsi="Times New Roman" w:cs="Times New Roman"/>
          <w:sz w:val="24"/>
          <w:szCs w:val="24"/>
        </w:rPr>
        <w:t>zákona za rok.............</w:t>
      </w:r>
      <w:r w:rsidR="00541A76">
        <w:rPr>
          <w:rFonts w:ascii="Times New Roman" w:hAnsi="Times New Roman" w:cs="Times New Roman"/>
          <w:sz w:val="24"/>
          <w:szCs w:val="24"/>
        </w:rPr>
        <w:t xml:space="preserve">“. </w:t>
      </w:r>
      <w:r w:rsidR="008373C2">
        <w:rPr>
          <w:rFonts w:ascii="Times New Roman" w:hAnsi="Times New Roman" w:cs="Times New Roman"/>
          <w:sz w:val="24"/>
          <w:szCs w:val="24"/>
        </w:rPr>
        <w:t>Príloha č. 5 časť B pozostáva len z tabuľky o údajoch o počtoch poistencov podľa pohlavia, veku a platiteľa podľa Centrálneho registra poistencov vedeného Úradom pre dohľad nad zdravotnou starostlivosťou.</w:t>
      </w:r>
    </w:p>
    <w:p w:rsidR="00433DA7" w:rsidRDefault="00433DA7" w:rsidP="00C41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083"/>
        <w:gridCol w:w="1182"/>
        <w:gridCol w:w="1421"/>
        <w:gridCol w:w="1417"/>
      </w:tblGrid>
      <w:tr w:rsidR="00FC3B1C" w:rsidRPr="00E30973" w:rsidTr="00FC3B1C">
        <w:tc>
          <w:tcPr>
            <w:tcW w:w="1526" w:type="dxa"/>
          </w:tcPr>
          <w:p w:rsidR="00546791" w:rsidRPr="00E30973" w:rsidRDefault="00DD6682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Počet poistencov podľa pohlavia, veku a platiteľa poistného</w:t>
            </w:r>
          </w:p>
        </w:tc>
        <w:tc>
          <w:tcPr>
            <w:tcW w:w="1134" w:type="dxa"/>
          </w:tcPr>
          <w:p w:rsidR="00546791" w:rsidRPr="00E30973" w:rsidRDefault="00DD6682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Platiteľ nie je štát</w:t>
            </w:r>
          </w:p>
        </w:tc>
        <w:tc>
          <w:tcPr>
            <w:tcW w:w="992" w:type="dxa"/>
          </w:tcPr>
          <w:p w:rsidR="00546791" w:rsidRPr="00E30973" w:rsidRDefault="00DD6682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Platiteľ nie je štát</w:t>
            </w:r>
          </w:p>
        </w:tc>
        <w:tc>
          <w:tcPr>
            <w:tcW w:w="1083" w:type="dxa"/>
          </w:tcPr>
          <w:p w:rsidR="00546791" w:rsidRPr="00E30973" w:rsidRDefault="00DD6682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Platiteľ je štát</w:t>
            </w:r>
          </w:p>
        </w:tc>
        <w:tc>
          <w:tcPr>
            <w:tcW w:w="1182" w:type="dxa"/>
          </w:tcPr>
          <w:p w:rsidR="00546791" w:rsidRPr="00E30973" w:rsidRDefault="00DD6682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Platiteľ je štát</w:t>
            </w: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. 1 + </w:t>
            </w: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 2 celkom</w:t>
            </w: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. 3 + </w:t>
            </w: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 4 celkom</w:t>
            </w: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DD6682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z toho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ženy</w:t>
            </w: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ženy</w:t>
            </w: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muži</w:t>
            </w:r>
            <w:r w:rsidR="00FC3B1C"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+ženy</w:t>
            </w:r>
          </w:p>
        </w:tc>
        <w:tc>
          <w:tcPr>
            <w:tcW w:w="1417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uži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+ženy</w:t>
            </w: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1421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417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stĺ</w:t>
            </w:r>
            <w:proofErr w:type="spellEnd"/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a. od 0 rokov do 4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5 rokov do 9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10 rokov do 14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FC3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15 rokov do 19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DD6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od 25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DD6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od 35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od 45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 do 4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0 rokov 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DD6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DD6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46791" w:rsidRPr="00E3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0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4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DD6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p.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 do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 rokov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DD6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r. od </w:t>
            </w:r>
            <w:r w:rsidR="00DD6682" w:rsidRPr="00E309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 xml:space="preserve">0 rokov 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B1C" w:rsidRPr="00E30973" w:rsidTr="00FC3B1C">
        <w:tc>
          <w:tcPr>
            <w:tcW w:w="1526" w:type="dxa"/>
          </w:tcPr>
          <w:p w:rsidR="00546791" w:rsidRPr="00E30973" w:rsidRDefault="00FC3B1C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73">
              <w:rPr>
                <w:rFonts w:ascii="Times New Roman" w:hAnsi="Times New Roman" w:cs="Times New Roman"/>
                <w:sz w:val="20"/>
                <w:szCs w:val="20"/>
              </w:rPr>
              <w:t>Poistenci celkom</w:t>
            </w:r>
          </w:p>
        </w:tc>
        <w:tc>
          <w:tcPr>
            <w:tcW w:w="1134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791" w:rsidRPr="00E30973" w:rsidRDefault="00546791" w:rsidP="00546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1D8" w:rsidRDefault="00F701D8" w:rsidP="0054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D" w:rsidRDefault="00AB7BA5" w:rsidP="00DD6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D3CFD">
        <w:rPr>
          <w:rFonts w:ascii="Times New Roman" w:hAnsi="Times New Roman" w:cs="Times New Roman"/>
          <w:sz w:val="24"/>
          <w:szCs w:val="24"/>
        </w:rPr>
        <w:t xml:space="preserve"> Za § 5 sa vkladá nový § 5a, ktorý znie:</w:t>
      </w:r>
    </w:p>
    <w:p w:rsidR="003D3CFD" w:rsidRDefault="003D3CFD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D" w:rsidRDefault="003D3CFD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5a</w:t>
      </w:r>
    </w:p>
    <w:p w:rsidR="003D3CFD" w:rsidRDefault="003D3CFD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účinné od </w:t>
      </w:r>
      <w:r w:rsidR="00FF0AA4">
        <w:rPr>
          <w:rFonts w:ascii="Times New Roman" w:hAnsi="Times New Roman" w:cs="Times New Roman"/>
          <w:sz w:val="24"/>
          <w:szCs w:val="24"/>
        </w:rPr>
        <w:t>1. októbra 2017</w:t>
      </w:r>
    </w:p>
    <w:p w:rsidR="0042104B" w:rsidRDefault="0042104B" w:rsidP="00FF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D" w:rsidRDefault="003D3CFD" w:rsidP="00FF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tejto vyhlášky sa oznamujú údaje na účely ročného prerozdeľovania úradu za rok 2016 do 30. novembra 2017. </w:t>
      </w:r>
    </w:p>
    <w:p w:rsidR="0042104B" w:rsidRDefault="0042104B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FD" w:rsidRDefault="003D3CFD" w:rsidP="003D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E77E9" w:rsidRDefault="005E77E9" w:rsidP="003D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1A1" w:rsidRDefault="008011A1" w:rsidP="00F66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238">
        <w:rPr>
          <w:rFonts w:ascii="Times New Roman" w:hAnsi="Times New Roman" w:cs="Times New Roman"/>
          <w:sz w:val="24"/>
          <w:szCs w:val="24"/>
        </w:rPr>
        <w:t xml:space="preserve">Táto vyhláška nadobúda účinnosť </w:t>
      </w:r>
      <w:r w:rsidR="005E77E9">
        <w:rPr>
          <w:rFonts w:ascii="Times New Roman" w:hAnsi="Times New Roman" w:cs="Times New Roman"/>
          <w:sz w:val="24"/>
          <w:szCs w:val="24"/>
        </w:rPr>
        <w:t>1. októbra 2017.</w:t>
      </w:r>
    </w:p>
    <w:sectPr w:rsidR="008011A1" w:rsidSect="00C452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C93"/>
    <w:multiLevelType w:val="hybridMultilevel"/>
    <w:tmpl w:val="FD322392"/>
    <w:lvl w:ilvl="0" w:tplc="A99E9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10C2"/>
    <w:multiLevelType w:val="hybridMultilevel"/>
    <w:tmpl w:val="0F8017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71D"/>
    <w:multiLevelType w:val="hybridMultilevel"/>
    <w:tmpl w:val="2F124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C9"/>
    <w:rsid w:val="00002DBE"/>
    <w:rsid w:val="00011480"/>
    <w:rsid w:val="000679E6"/>
    <w:rsid w:val="0008699E"/>
    <w:rsid w:val="00124405"/>
    <w:rsid w:val="00125B00"/>
    <w:rsid w:val="001856B2"/>
    <w:rsid w:val="001C6741"/>
    <w:rsid w:val="00222978"/>
    <w:rsid w:val="00272FF3"/>
    <w:rsid w:val="002B625E"/>
    <w:rsid w:val="002F7668"/>
    <w:rsid w:val="003007AB"/>
    <w:rsid w:val="00304A12"/>
    <w:rsid w:val="00371D33"/>
    <w:rsid w:val="00390723"/>
    <w:rsid w:val="003D3CFD"/>
    <w:rsid w:val="003D69CC"/>
    <w:rsid w:val="0042104B"/>
    <w:rsid w:val="00430D74"/>
    <w:rsid w:val="00433DA7"/>
    <w:rsid w:val="00441152"/>
    <w:rsid w:val="004459A3"/>
    <w:rsid w:val="004C0D8F"/>
    <w:rsid w:val="00510B72"/>
    <w:rsid w:val="00517209"/>
    <w:rsid w:val="00541A76"/>
    <w:rsid w:val="00546791"/>
    <w:rsid w:val="00597A18"/>
    <w:rsid w:val="005C4B42"/>
    <w:rsid w:val="005E537C"/>
    <w:rsid w:val="005E77E9"/>
    <w:rsid w:val="00634C63"/>
    <w:rsid w:val="00691FC0"/>
    <w:rsid w:val="006C5535"/>
    <w:rsid w:val="00722643"/>
    <w:rsid w:val="00792224"/>
    <w:rsid w:val="007B3979"/>
    <w:rsid w:val="008011A1"/>
    <w:rsid w:val="008353EE"/>
    <w:rsid w:val="008373C2"/>
    <w:rsid w:val="008405F1"/>
    <w:rsid w:val="00842F7B"/>
    <w:rsid w:val="00847ADD"/>
    <w:rsid w:val="00897533"/>
    <w:rsid w:val="008D1865"/>
    <w:rsid w:val="008E590A"/>
    <w:rsid w:val="008E6E02"/>
    <w:rsid w:val="00931CEE"/>
    <w:rsid w:val="00944C62"/>
    <w:rsid w:val="00970407"/>
    <w:rsid w:val="009D2FAF"/>
    <w:rsid w:val="009F2CC4"/>
    <w:rsid w:val="00AB7BA5"/>
    <w:rsid w:val="00AD6823"/>
    <w:rsid w:val="00AF3DAC"/>
    <w:rsid w:val="00AF5B67"/>
    <w:rsid w:val="00BA12B7"/>
    <w:rsid w:val="00BC7C6F"/>
    <w:rsid w:val="00BE7369"/>
    <w:rsid w:val="00C0525F"/>
    <w:rsid w:val="00C123CB"/>
    <w:rsid w:val="00C41675"/>
    <w:rsid w:val="00C438C9"/>
    <w:rsid w:val="00C45200"/>
    <w:rsid w:val="00CD5688"/>
    <w:rsid w:val="00D02516"/>
    <w:rsid w:val="00DD6682"/>
    <w:rsid w:val="00DE4F34"/>
    <w:rsid w:val="00E25F48"/>
    <w:rsid w:val="00E26518"/>
    <w:rsid w:val="00E30973"/>
    <w:rsid w:val="00EA1100"/>
    <w:rsid w:val="00EA547D"/>
    <w:rsid w:val="00EE136A"/>
    <w:rsid w:val="00EF0838"/>
    <w:rsid w:val="00F0197B"/>
    <w:rsid w:val="00F21B9D"/>
    <w:rsid w:val="00F66238"/>
    <w:rsid w:val="00F701D8"/>
    <w:rsid w:val="00F73525"/>
    <w:rsid w:val="00FC3B1C"/>
    <w:rsid w:val="00FE462E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037B5-9F30-4060-B7F5-59D5BD09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D68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8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68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8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82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82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4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BA12B7"/>
  </w:style>
  <w:style w:type="character" w:styleId="Hypertextovprepojenie">
    <w:name w:val="Hyperlink"/>
    <w:basedOn w:val="Predvolenpsmoodseku"/>
    <w:uiPriority w:val="99"/>
    <w:semiHidden/>
    <w:unhideWhenUsed/>
    <w:rsid w:val="00BA12B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A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78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8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1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8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0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7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3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5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6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H_rok_programu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pbabicova</dc:creator>
  <cp:lastModifiedBy>Földesová Motajová Zuzana</cp:lastModifiedBy>
  <cp:revision>2</cp:revision>
  <dcterms:created xsi:type="dcterms:W3CDTF">2017-08-08T16:42:00Z</dcterms:created>
  <dcterms:modified xsi:type="dcterms:W3CDTF">2017-08-08T16:42:00Z</dcterms:modified>
</cp:coreProperties>
</file>