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2351AE" w:rsidRDefault="002351AE">
      <w:pPr>
        <w:jc w:val="center"/>
        <w:divId w:val="1468204893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Zákon, 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2351AE" w:rsidP="002351AE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34 / 3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2351AE" w:rsidRDefault="002351AE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8492"/>
        <w:gridCol w:w="1415"/>
      </w:tblGrid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predloženému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10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čl. I bodu 10 (§ 31 ods. 4) Odporúčame zvážiť vypustenie poslednej vety a ponechať otázku správnosti údajov zadaných do elektronického systému v pôsobnosti kontrolných orgánov, nakoľko kontrolou správnosti okresný úrad preberá na seba aj zodpovednosť za to, že údaje, ktoré potvrdil, sú aj správne. V prípade ponechania poslednej vety v návrhu odporúčame v tejto vete upraviť lehotu, v ktorej je okresný úrad povinný potvrdzovať (odporúčanie použiť slovo „potvrdí") správnosť a tiež postup, na základe ktorého okresný úrad bude konštatovať správnosť údajov, resp. postup v prípade, keď okresný úrad zistí dôvody na „nepotvrdenie".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bod 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čl. II bodu 2 /§ 4 ods. l písm. a e)/ Odporúčame ustanovenie preformulovať tak, aby bolo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pojmologicky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jednoznačné a pre adresátov právnej normy zrozumiteľné. Podotýkame, že slovo „napríklad" sa v dikcii ustanovení zákonov nepoužíva.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Taktiež odporúčame spresniť dôvodovú správu k tomuto bodu, v ktorej je možné/potrebné uviesť príklady, ako aj medzinárodné zmluvy alebo aj iné právne dokumenty, z ktorých vyplýva povinnosť, resp. oprávnenie Slovenskej republiky prispievať do klimaticko-energetických fondov konkrétne uvedených v navrhovanom znení zákona, prípadne aj do iných medzinárodných fondov.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8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nadväznosti na vypustenie odseku 2 vykonať úpravu vnútorných odkazov v § 18 ods. 6 písm. a) a b), v ktorých sú uvedené vnútorné odkazy na § 26 ods. 4, resp. ods. 5.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ICZ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10</w:t>
            </w:r>
            <w:r>
              <w:rPr>
                <w:rFonts w:ascii="Times" w:hAnsi="Times" w:cs="Times"/>
                <w:sz w:val="25"/>
                <w:szCs w:val="25"/>
              </w:rPr>
              <w:br/>
              <w:t>V nadväznosti na zavedenie elektronického systému naša organizácia ako vnútroštátny správca navrhuje zjednodušenie procesu zapisovania a schvaľovania údajov o množstvách overených emisií v registri Únie nasledovne: zrušiť povinnosť okresných úradov predkladať každoročne do 31. marca vnútroštátnemu správcovi potvrdenie o správnosti správy, zrušiť povinnosť pre overovateľov vkladať do tabuľky overených emisií v registri ročné overené emisie a uvedené údaje získavať od ministerstva na základe údajov zapísaných v elektronickom systéme v súlade s prílohou IX nariadenia Komisie (EÚ) č. 389/2013. V súvislosti s uvedeným navrhujeme doplniť znenie prvej vety navrhovaného § 31, ods. 6 o slová "každoročne do 31. marca" a s účinnosťou od 1. mája 2018 zrušiť súčasný § 27, ods. 1, písm. f). Tiež navrhujeme doplniť znenie navrhovaného § 31, ods. 7 o slová "každoročne do 31. marca" a zrušiť súčasný § 24, ods. 4.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ICZ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8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nadväznosti na zavedenie elektronického systému naša organizácia ako vnútroštátny správca navrhuje zjednodušenie procesu zapisovania a schvaľovania údajov o množstvách overených emisií v registri Únie nasledovne: zrušiť povinnosť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okresných úradov predkladať každoročne do 31. marca vnútroštátnemu správcovi potvrdenie o správnosti správy, zrušiť povinnosť pre overovateľov vkladať do tabuľky overených emisií v registri ročné overené emisie a uvedené údaje získavať od ministerstva na základe údajov zapísaných v elektronickom systéme v súlade s prílohou IX nariadenia Komisie (EÚ) č. 389/2013. V súvislosti s uvedeným navrhujeme upraviť znenie súčasného § 26, ods. 1, písm. n) nasledovne: „predkladá každoročne do 31. marca vnútroštátnemu správcovi údaje o ročných emisiách podľa osobitného predpisu“ + doplniť novú poznámku pod čiarou: „Príloha IX nariadenia Komisie (EÚ) č. 389/2013“.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Z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MDaVSR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bodu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bode 1 odporúčame označiť poznámku pod čiarou číslom ,,1a“ a následne nemeniť označenie pôvodnej poznámky pod čiarou č. 1.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>Beriem na vedomie, že pozitívne vplyvy na rozpočet verejnej správy súvisiace s očakávanými príjmami z predaja ročne pridelených emisných kvót (AEA) v súčasnosti nie je možné kvantifikovať, ani približne odhadnúť ich výšku z dôvodu, že ich cena nie je známa. Rovnako beriem na vedomie, že predpokladané zvýšené výdavky kapitoly Ministerstva životného prostredia SR v súvislosti s údržbou nového elektronického systému v sume 14 400 eur ročne, budú zabezpečené v rámci rozpočtu kapitoly ministerstva na príslušné rozpočtové roky.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Návrh je potrebné zosúladiť s prílohou č. 1 LPV (ďalej len „príloha LPV“) [napríklad v čl. I bode 10 § 31 ods. 1 úvodnej vete slovo „nahlasujú“ nahradiť slovom „nahlasuje“, v čl. II bode 2 § 4 ods. 1 písm.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ae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) vypustiť slovo „napríklad“, čl. III zosúladiť s bodom 64. 1 prílohy LPV].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3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Žiadam, aby výnosy získané z priameho predaja, sprostredkovane alebo na dražbe z ročne pridelených emisných kvót (AEA) boli príjmom štátneho rozpočtu (čl. I bod 3 § 18 ods. 14), pretože viazanie príjmov AEA na Environmentálny fond nie je odôvodnené a znižuje transparentnosť a predvídateľnosť rozpočtového procesu.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II bodu 2</w:t>
            </w:r>
            <w:r>
              <w:rPr>
                <w:rFonts w:ascii="Times" w:hAnsi="Times" w:cs="Times"/>
                <w:sz w:val="25"/>
                <w:szCs w:val="25"/>
              </w:rPr>
              <w:br/>
              <w:t>Slová „napríklad do Zeleného klimatického fondu, Globálneho environmentálneho fondu a iných medzinárodných fondov s podobným zameraním“ odporúčame z dôvodu nadbytočnosti vypustiť.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 bodu 8</w:t>
            </w:r>
            <w:r>
              <w:rPr>
                <w:rFonts w:ascii="Times" w:hAnsi="Times" w:cs="Times"/>
                <w:sz w:val="25"/>
                <w:szCs w:val="25"/>
              </w:rPr>
              <w:br/>
              <w:t>V nadväznosti na zmenu § 26 odporúčame upraviť aj vnútorné odkazy uvedené v § 18 ods. 6 písma. a) a b) zákona č. 414/2012 Z. z.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bod 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II bod 2, kde sa uvádza, že sa dopĺňajú nové písmená ad) 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ae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), pričom písm. ad) znie „ ad) podporu projektov zameraných na úsporu a záchyty emisií skleníkových plynov v oblasti poľnohospodárstva a lesníctva“ Uvedený návrh na rozšírenie poskytovania prostriedkov Environmentálneho fondu, ktorého zdrojom sú aj - Výnosy z verejných zbierok určených na starostlivosť o životné prostredie - Peňažné prostriedky získané z predaja kvót skleníkových plynov alebo znečisťujúcich látok - Finančné prostriedky EÚ - Výnosy získané z dražieb kvót bude podľa nášho názoru prakticky ťažko vykonateľný a len málo pravdepodobne v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prospech vlastníkov a obhospodarovateľov lesov, ktorí , v súlade so schváleným programom starostlivosti o les, trvalo udržateľným manažmentom lesa ovplyvňujú záchyty a ukladanie emisií skleníkových plynov. Z uvedeného dôvodu odporúčame ustanovenie doplneného písm. ad) preformulovať nasledovne: „ad) podporu manažmentu lesov v pásmach A, B a C ohrozenia lesov pod vplyvom imisií x) a podporu projektov zameraných na úsporu a záchyty emisií skleníkových plynov v oblasti poľnohospodárstva a lesníctva“ Poznámka k odkazu x) znie: „x) § 18 vyhlášky MP SR č. 453/2006 Z. z. o hospodárskej úprave lesov a o ochrane.“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III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slová "bodu 4" nahradiť slovami "štvrtého bodu" v súlade s legislatívno-technickými pokynmi 57 a 64.1.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 bodu 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v § 4 - v písmene ad) slovo "záchyty" nahradiť slovom "záchyt" v súlade s legislatívno-technickým pokynom č. 3; množné číslo nie je potrebné, pretože použitý termín vyjadruje činnosť; - v písmene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ae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) časť ustanovenia za slovami "klimaticko-energetických fondov" vypustiť alebo nahradiť odkazom na príslušné medzinárodné právne akty, pretože termín "klimaticko-energetické fondy" jednoznačne pomenúva príjemcu príspevkov, slovo "napríklad", sa nemôže použiť, ak sa súčasne na konci uvádzajú slová "a iných medzinárodných fondov" a slovné spojenie "podobným zameraním" je v kontexte ustanovenia významovo neurčité.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č. I bode 11 odporúčame kvôli jednoznačnosti textu slová „do 30. apríla 2018“ zaradiť za slovo „môžu“. Odôvodnenie: Z nového slovosledu bude jednoznačné, že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dátum sa viaže k nahlasovaniu údajov, a nie k zverejneniu šablón na webovom sídle.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 bode 1 (§ 2 písm. o)) odporúčame vypustiť slová „na roky 2013 až 2020“. Odôvodnenie: Obsahom ustanovení § 2 je vymedzenie základných pojmov požívaných v texte zákona. Nepovažujeme za náležité uvádzať v základných pojmoch konkrétne obdobie vzhľadom na to, že emisné kvóty sa prideľujú vždy na príslušné obdobie a rozhodnutie 406/2009 predpokladá ďalšie znižovanie emisií aj po r.2020, a tiež z dôvodu , že príslušné obdobie je už v texte zákona zahrnuté, a to v rámci odkazu 1.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10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 bode 10 § 31 ods. 4 odporúčame doplniť, akým spôsobom bude okresný úrad potvrdzovať správnosť údajov zadaných do elektronického systému existujúcim účastníkom schémy obchodovania.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3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 bode 3 (§ 18 ods. 13 a 14) odporúčame vypustiť odsek 14 a poznámku pod čiaru k odkazu 17. V nadväznosti na to odporúčame doplniť čl. II návrhu o nový bod 1 novelizujúci § 3 ods. 1 písm. r) zák. č. 587/2004 Z. z. napr. takto: „1. V § 3 ods. 1 písm. r) sa slová „z predaja“ nahrádzajú slovami „ z priameho predaja alebo sprostredkovaného predaja“. Odôvodnenie: Nový odsek 14 zakladá v súvislosti s plynutím výnosov z predaja a z dražieb obsahovú duplicitu s § 3 ods. 1 písm. r) a t) zákona č. 587/2004 Z. z. o Environmentálnom fonde a o zmene a doplnení niektorých zákonov v znení neskorších predpisov, ktorý upravuje zdroje fondu: podľa písm. r) cit. ustanovenia sú zdrojmi fondu „peňažné prostriedky získané z predaja kvót skleníkových plynov alebo znečisťujúcich látok“ a podľa písm. t) sú zdrojmi fondu „výnosy získané z dražieb kvót“. Vzhľadom na to, že v novom odseku 13 sa určujú formy predaja, je vhodné tieto formy upraviť aj v § 3 ods. 1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písm. r) zák. č. 587/2004 Z. z.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5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§ 21 upravujúci práva a povinnosti prevádzkovateľov a prevádzkovateľov lietadiel sa navrhuje doplniť odsekom 5, podľa ktorého „Prevádzkovateľ lietadla nahlasuje monitorovací plán podľa § 13 ods. 1 a správu podľa ods. 2 písm. a) prostredníctvom elektronického systému vytvoreného Európskou komisiou na požiadanie ministerstva.“ Navrhované ustanovenie § 21 ods. 5 predstavuje duplicitu s čl. 74 ods. 1 nariadenia Komisie (EÚ) č. 601/2012 o monitorovaní a nahlasovaní emisií skleníkových plynov podľa smernice Európskeho parlamentu a Rady 2003/87/ES (Ú. v. EÚ L 181, 12.7.2012) v platnom znení, podľa ktorého „Členské štáty môžu požiadať prevádzkovateľa a prevádzkovateľa lietadla, aby na predloženie plánov monitorovania a zmien plánu monitorovania, ako aj správ o ročných emisiách, správ o údajoch o tonokilometroch, správ o overení a správ o vylepšeniach použil elektronické šablónu alebo špecifické formáty súborov. Tieto šablóny alebo špecifikácie formátu súborov stanovené členskými štátmi obsahujú aspoň informácie uvedené v elektronických šablónach alebo špecifikáciách formátov súborov zverejnených Komisiou.“ Keďže nariadenia EÚ sú priamo aplikovateľné v členských štátoch EÚ a pri ich implementácií sa nepreberá ich text do vnútroštátnej legislatívy, žiadame navrhované ustanovenie vypustiť, resp. prepracovať a odstrániť duplicitu ustanovenia návrhu s ustanovením predmetného nariadenia EÚ formou odkazu napr. na čl. 74 ods. 1 nariadenia Komisie (EÚ) č. 601/2012 v platnom znení.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V bode 3 písm. a) doložky zlučiteľnosti v sekundárnom práve prijatom po nadobudnutí platnosti Lisabonskej zmluvy – 1. legislatívne akty, žiadame nesprávne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zaradené nariadenie Komisie (EÚ) č. 601/2012 uviesť do časti 2. nelegislatívne akty a za publikačným zdrojom doplniť dodatok „v platnom znení“.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2. V bode 5 doložky zlučiteľnosti žiadame uviesť stupeň zlučiteľnosti návrhu právneho predpisu s právom EÚ ako „úplný“.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Navrhovaný § 2 písm. o) na účely definovania pojmu „ročne pridelené emisné kvóty“ odkazuje na osobitný predpis, ktorým je rozhodnutie Európskeho parlamentu a Rady č. 406/2009/ES, bez špecifikovania konkrétnych ustanovení. Žiadame doplniť poznámku pod čiarou k odkazu 1 o citáciu konkrétneho článku, a to čl. 2 ods. 2 rozhodnutia č. 406/2009/ES.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3</w:t>
            </w:r>
            <w:r>
              <w:rPr>
                <w:rFonts w:ascii="Times" w:hAnsi="Times" w:cs="Times"/>
                <w:sz w:val="25"/>
                <w:szCs w:val="25"/>
              </w:rPr>
              <w:br/>
              <w:t>V súvislosti s pripomienkou k čl. I bod 1 návrhu zákona žiadame v § 18 ods. 13 odkaz 1 prečíslovať a v poznámke pod čiarou citovať konkrétne články rozhodnutia č. 406/2009/ES , podľa ktorých „Ministerstvo životného prostredia SR je oprávnené využiť flexibility podľa osobitného predpisu.“.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 osobitná časť: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Žiadame predkladateľa, aby prepracoval osobitnú časť dôvodovej správy tak, aby odôvodnenia k jednotlivým bodom neobsahovali iba opis, resp. prepis znenia z návrhu zákona. Táto požiadavka vyplýva z čl. 19 ods. 4 Legislatívnych pravidiel vlády SR, kde je ustanovené, že osobitná časť dôvodovej správy obsahuje odôvodnenie jednotlivých navrhovaných ustanovení – teda obsahuje vysvetlenie, prečo sú jednotlivé ustanovenia navrhované v takomto znení. Z toho istého článku Legislatívnych pravidiel vlády SR tiež vyplýva, že do odôvodnenia jednotlivých navrhovaných ustanovení sa nepreberá text týchto ustanovení, ani text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argumentácia už obsiahnutá vo všeobecnej časti dôvodovej správy. Žiadame prepracovať a uviesť do súladu s Legislatívnymi pravidlami vlády SR.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PMÚSR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ÚPPVII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bod 8</w:t>
            </w:r>
            <w:r>
              <w:rPr>
                <w:rFonts w:ascii="Times" w:hAnsi="Times" w:cs="Times"/>
                <w:sz w:val="25"/>
                <w:szCs w:val="25"/>
              </w:rPr>
              <w:br/>
              <w:t>Upozorňujeme, že zmena v § 26 sa dotkne vnútorného odkazu v § 18 ods. 6, čo však nie je zohľadnené. Odporúčame za bod 2 vložiť nový bod 3, ktorý túto zmenu zohľadní. Legislatívno-technická 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Návrhu uznesenia vlády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  <w:t>V Návrhu uznesenia vlády Slovenskej republiky navrhujeme časť B. Vláda poveruje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ministerovi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životného prostredia Slovenskej republiky“ nahradiť znením „ministra životného prostredia Slovenskej republiky“.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351AE">
        <w:trPr>
          <w:divId w:val="175527803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1AE" w:rsidRDefault="002351A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51AE" w:rsidRDefault="002351A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footerReference w:type="default" r:id="rId9"/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1F" w:rsidRDefault="00A47E1F" w:rsidP="009B2C4C">
      <w:pPr>
        <w:spacing w:after="0" w:line="240" w:lineRule="auto"/>
      </w:pPr>
      <w:r>
        <w:separator/>
      </w:r>
    </w:p>
  </w:endnote>
  <w:endnote w:type="continuationSeparator" w:id="0">
    <w:p w:rsidR="00A47E1F" w:rsidRDefault="00A47E1F" w:rsidP="009B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83519"/>
      <w:docPartObj>
        <w:docPartGallery w:val="Page Numbers (Bottom of Page)"/>
        <w:docPartUnique/>
      </w:docPartObj>
    </w:sdtPr>
    <w:sdtContent>
      <w:p w:rsidR="009B2C4C" w:rsidRDefault="009B2C4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B2C4C" w:rsidRDefault="009B2C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1F" w:rsidRDefault="00A47E1F" w:rsidP="009B2C4C">
      <w:pPr>
        <w:spacing w:after="0" w:line="240" w:lineRule="auto"/>
      </w:pPr>
      <w:r>
        <w:separator/>
      </w:r>
    </w:p>
  </w:footnote>
  <w:footnote w:type="continuationSeparator" w:id="0">
    <w:p w:rsidR="00A47E1F" w:rsidRDefault="00A47E1F" w:rsidP="009B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B3F57"/>
    <w:rsid w:val="002351AE"/>
    <w:rsid w:val="002C2B40"/>
    <w:rsid w:val="002F00DB"/>
    <w:rsid w:val="00327A2D"/>
    <w:rsid w:val="003A35EB"/>
    <w:rsid w:val="003C009A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7529A"/>
    <w:rsid w:val="008F1A80"/>
    <w:rsid w:val="009B2C4C"/>
    <w:rsid w:val="00A47E1F"/>
    <w:rsid w:val="00A56287"/>
    <w:rsid w:val="00AA4FD0"/>
    <w:rsid w:val="00B3505E"/>
    <w:rsid w:val="00B50E2A"/>
    <w:rsid w:val="00B51490"/>
    <w:rsid w:val="00BA14D6"/>
    <w:rsid w:val="00D02827"/>
    <w:rsid w:val="00D17ED7"/>
    <w:rsid w:val="00D463B0"/>
    <w:rsid w:val="00D710A5"/>
    <w:rsid w:val="00DD1B41"/>
    <w:rsid w:val="00DF7EB5"/>
    <w:rsid w:val="00F10D72"/>
    <w:rsid w:val="00F44C37"/>
    <w:rsid w:val="00FA3FB9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C4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C4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C4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C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4.7.2017 6:18:36"/>
    <f:field ref="objchangedby" par="" text="Fscclone"/>
    <f:field ref="objmodifiedat" par="" text="4.7.2017 6:18:38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9BB587-B951-4C7A-BAEB-2C321AF8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11955</Characters>
  <Application>Microsoft Office Word</Application>
  <DocSecurity>0</DocSecurity>
  <Lines>99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Lichnerová Oľga</cp:lastModifiedBy>
  <cp:revision>4</cp:revision>
  <cp:lastPrinted>2017-08-16T10:56:00Z</cp:lastPrinted>
  <dcterms:created xsi:type="dcterms:W3CDTF">2017-08-16T10:08:00Z</dcterms:created>
  <dcterms:modified xsi:type="dcterms:W3CDTF">2017-08-16T10:56:00Z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Oľga Lichnerová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4" name="FSC#SKEDITIONSLOVLEX@103.510:nazovpredpis1">
    <vt:lpwstr>rých zákonov v znení neskorších predpisov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23" name="FSC#SKEDITIONSLOVLEX@103.510:plnynazovpredpis1">
    <vt:lpwstr>iektorých zákonov v znení neskorších predpisov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7163/2017-min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LP/2017/439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v článkoch 192 a 193 Zmluvy o fungovaní Európskej únie</vt:lpwstr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>Nariadenie Komisie (EÚ) č. 601/2012 o monitorovaní a nahlasovaní emisií skleníkových plynov podľa smernice Európskeho parlamentu a Rady 2003/87/ES (Ú. v. EÚ L 181, 12. 7. 2012) v platnom znení.   </vt:lpwstr>
  </property>
  <property fmtid="{D5CDD505-2E9C-101B-9397-08002B2CF9AE}" pid="48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nie je</vt:lpwstr>
  </property>
  <property fmtid="{D5CDD505-2E9C-101B-9397-08002B2CF9AE}" pid="52" name="FSC#SKEDITIONSLOVLEX@103.510:AttrStrListDocPropLehotaNaPredlozenie">
    <vt:lpwstr>nie je</vt:lpwstr>
  </property>
  <property fmtid="{D5CDD505-2E9C-101B-9397-08002B2CF9AE}" pid="53" name="FSC#SKEDITIONSLOVLEX@103.510:AttrStrListDocPropInfoZaciatokKonania">
    <vt:lpwstr>nie sú</vt:lpwstr>
  </property>
  <property fmtid="{D5CDD505-2E9C-101B-9397-08002B2CF9AE}" pid="54" name="FSC#SKEDITIONSLOVLEX@103.510:AttrStrListDocPropInfoUzPreberanePP">
    <vt:lpwstr>nie sú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17. 5. 2017</vt:lpwstr>
  </property>
  <property fmtid="{D5CDD505-2E9C-101B-9397-08002B2CF9AE}" pid="58" name="FSC#SKEDITIONSLOVLEX@103.510:AttrDateDocPropUkonceniePKK">
    <vt:lpwstr>30. 5. 2017</vt:lpwstr>
  </property>
  <property fmtid="{D5CDD505-2E9C-101B-9397-08002B2CF9AE}" pid="59" name="FSC#SKEDITIONSLOVLEX@103.510:AttrStrDocPropVplyvRozpocetVS">
    <vt:lpwstr>Pozitívne_x000d_
Negatívne</vt:lpwstr>
  </property>
  <property fmtid="{D5CDD505-2E9C-101B-9397-08002B2CF9AE}" pid="60" name="FSC#SKEDITIONSLOVLEX@103.510:AttrStrDocPropVplyvPodnikatelskeProstr">
    <vt:lpwstr>Pozitívne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Pozitívne</vt:lpwstr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>Neboli posudzované alternatívne riešenia.</vt:lpwstr>
  </property>
  <property fmtid="{D5CDD505-2E9C-101B-9397-08002B2CF9AE}" pid="66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
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ministerovi životného prostredia Slovenskej republiky</vt:lpwstr>
  </property>
  <property fmtid="{D5CDD505-2E9C-101B-9397-08002B2CF9AE}" pid="142" name="FSC#SKEDITIONSLOVLEX@103.510:funkciaZodpPredDativ">
    <vt:lpwstr>ministera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
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149" name="FSC#COOSYSTEM@1.1:Container">
    <vt:lpwstr>COO.2145.1000.3.2048856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4. 7. 2017</vt:lpwstr>
  </property>
</Properties>
</file>