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412CC6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412CC6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533AF0" w:rsidP="0053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533AF0" w:rsidP="0053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533AF0" w:rsidP="0053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533AF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</w:tr>
      <w:tr w:rsidR="007D5748" w:rsidRPr="007D5748" w:rsidTr="00412CC6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412CC6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412CC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412CC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412CC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412CC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412CC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412CC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412CC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412CC6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533AF0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533AF0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533AF0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5 000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</w:tr>
      <w:tr w:rsidR="007D5748" w:rsidRPr="007D5748" w:rsidTr="00412CC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53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533AF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Ministerstvo zahraničných vecí a európskych záležitostí SR/06U – Rozvoj zahraničných vzťahov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533AF0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5 000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533AF0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5 000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533AF0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5 000</w:t>
            </w:r>
          </w:p>
        </w:tc>
      </w:tr>
      <w:tr w:rsidR="007D5748" w:rsidRPr="007D5748" w:rsidTr="00412CC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533AF0" w:rsidRPr="007D5748" w:rsidTr="00412CC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33AF0" w:rsidRPr="007D5748" w:rsidRDefault="00533AF0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533AF0" w:rsidRPr="007D5748" w:rsidRDefault="00533AF0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3AF0" w:rsidRPr="007D5748" w:rsidRDefault="00533AF0" w:rsidP="00AE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5 000</w:t>
            </w:r>
          </w:p>
        </w:tc>
        <w:tc>
          <w:tcPr>
            <w:tcW w:w="1267" w:type="dxa"/>
            <w:noWrap/>
            <w:vAlign w:val="center"/>
          </w:tcPr>
          <w:p w:rsidR="00533AF0" w:rsidRPr="007D5748" w:rsidRDefault="00533AF0" w:rsidP="00AE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5 000</w:t>
            </w:r>
          </w:p>
        </w:tc>
        <w:tc>
          <w:tcPr>
            <w:tcW w:w="1267" w:type="dxa"/>
            <w:noWrap/>
            <w:vAlign w:val="center"/>
          </w:tcPr>
          <w:p w:rsidR="00533AF0" w:rsidRPr="007D5748" w:rsidRDefault="00533AF0" w:rsidP="00AE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5 000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</w:tr>
      <w:tr w:rsidR="00533AF0" w:rsidRPr="007D5748" w:rsidTr="00412CC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33AF0" w:rsidRPr="007D5748" w:rsidRDefault="00533AF0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533AF0" w:rsidRPr="007D5748" w:rsidRDefault="00533AF0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3AF0" w:rsidRPr="00533AF0" w:rsidRDefault="00533AF0" w:rsidP="00AE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33A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5 000</w:t>
            </w:r>
          </w:p>
        </w:tc>
        <w:tc>
          <w:tcPr>
            <w:tcW w:w="1267" w:type="dxa"/>
            <w:noWrap/>
            <w:vAlign w:val="center"/>
          </w:tcPr>
          <w:p w:rsidR="00533AF0" w:rsidRPr="00533AF0" w:rsidRDefault="00533AF0" w:rsidP="00AE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33A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5 000</w:t>
            </w:r>
          </w:p>
        </w:tc>
        <w:tc>
          <w:tcPr>
            <w:tcW w:w="1267" w:type="dxa"/>
            <w:noWrap/>
            <w:vAlign w:val="center"/>
          </w:tcPr>
          <w:p w:rsidR="00533AF0" w:rsidRPr="00533AF0" w:rsidRDefault="00533AF0" w:rsidP="00AE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33A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5 000   </w:t>
            </w:r>
          </w:p>
        </w:tc>
      </w:tr>
      <w:tr w:rsidR="007D5748" w:rsidRPr="007D5748" w:rsidTr="00412CC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412CC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412CC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412CC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412CC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412CC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412CC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412CC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412CC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412CC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412CC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412CC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412CC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412CC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412CC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33AF0" w:rsidRPr="007D5748" w:rsidTr="00412CC6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533AF0" w:rsidRPr="007D5748" w:rsidRDefault="00533AF0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33AF0" w:rsidRPr="007D5748" w:rsidRDefault="00533AF0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33AF0" w:rsidRPr="007D5748" w:rsidRDefault="00533AF0" w:rsidP="00AE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33AF0" w:rsidRPr="007D5748" w:rsidRDefault="00533AF0" w:rsidP="00AE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33AF0" w:rsidRPr="007D5748" w:rsidRDefault="00533AF0" w:rsidP="00AE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5 000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</w:tr>
      <w:tr w:rsidR="00533AF0" w:rsidRPr="007D5748" w:rsidTr="00412CC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33AF0" w:rsidRPr="007D5748" w:rsidRDefault="00533AF0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Ministerstvo zahraničných vecí a európskych záležitostí SR/06U – Rozvoj zahraničných vzťahov</w:t>
            </w:r>
          </w:p>
        </w:tc>
        <w:tc>
          <w:tcPr>
            <w:tcW w:w="1267" w:type="dxa"/>
            <w:noWrap/>
            <w:vAlign w:val="center"/>
          </w:tcPr>
          <w:p w:rsidR="00533AF0" w:rsidRPr="007D5748" w:rsidRDefault="00533AF0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3AF0" w:rsidRPr="00533AF0" w:rsidRDefault="00533AF0" w:rsidP="00AE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33A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5 000</w:t>
            </w:r>
          </w:p>
        </w:tc>
        <w:tc>
          <w:tcPr>
            <w:tcW w:w="1267" w:type="dxa"/>
            <w:noWrap/>
            <w:vAlign w:val="center"/>
          </w:tcPr>
          <w:p w:rsidR="00533AF0" w:rsidRPr="00533AF0" w:rsidRDefault="00533AF0" w:rsidP="00AE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33A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5 000</w:t>
            </w:r>
          </w:p>
        </w:tc>
        <w:tc>
          <w:tcPr>
            <w:tcW w:w="1267" w:type="dxa"/>
            <w:noWrap/>
            <w:vAlign w:val="center"/>
          </w:tcPr>
          <w:p w:rsidR="00533AF0" w:rsidRPr="00533AF0" w:rsidRDefault="00533AF0" w:rsidP="00AE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33A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5 000   </w:t>
            </w:r>
          </w:p>
        </w:tc>
      </w:tr>
      <w:tr w:rsidR="007D5748" w:rsidRPr="007D5748" w:rsidTr="00412CC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412CC6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1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7D5748" w:rsidRDefault="00533AF0" w:rsidP="00AE09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33AF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zákona má vplyv na rozpočet kapitoly Ministerstva zahraničných vecí a európskych záležitostí SR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súvislosti  s poskytovaním konzulárnych služieb. Finančné prostriedky sú zabezpečené v rozpočte kapitoly MZVaEZ SR.</w:t>
      </w:r>
    </w:p>
    <w:p w:rsidR="00533AF0" w:rsidRDefault="00533AF0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7305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AE0909" w:rsidRPr="007D5748" w:rsidRDefault="00AE0909" w:rsidP="00AE0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0909">
        <w:rPr>
          <w:rFonts w:ascii="Times New Roman" w:eastAsia="Times New Roman" w:hAnsi="Times New Roman" w:cs="Times New Roman"/>
          <w:sz w:val="24"/>
          <w:szCs w:val="24"/>
          <w:lang w:eastAsia="sk-SK"/>
        </w:rPr>
        <w:t>V návrhu zákona o zahraničnej službe sa zosúlaďuje súčasná právna úprava s aplikačnou praxou a aktualizuje sa právna úprava na úseku výkonu konzulárnych činností na  diplomatických misiách a konzulárnych úradoch Slovenskej republiky v zahraničí, ako aj v ústredí ministerstva.</w:t>
      </w:r>
    </w:p>
    <w:p w:rsidR="007D5748" w:rsidRDefault="00AE0909" w:rsidP="00AE0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Pr="00AE09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ransponuje smernica Rady (EÚ) 2015/637 o opatreniach koordinácie a spolupráce na uľahčenie konzulárnej ochrany nezastúpených občanov Únie v tretích krajinách a o zrušení rozhodnutia 95/553/ES, s transpozičnou lehotou do 1. mája 2018. </w:t>
      </w:r>
    </w:p>
    <w:p w:rsidR="00AE0909" w:rsidRPr="007D5748" w:rsidRDefault="00AE0909" w:rsidP="00AE0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Default="00AE0909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 definujú sa konzulárne činnosti ako</w:t>
      </w:r>
      <w:r w:rsidR="00A57E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konzulárne funkcie a konzulárna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A57E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ochrana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súčasne sa navrhuje ustanoviť, ktoré konzulárne funkcie vykonávajú diplomatická misia, konzulárny úrad a príslušný organizačný útvar ministerstva,</w:t>
      </w:r>
    </w:p>
    <w:p w:rsidR="00AE0909" w:rsidRDefault="00AE0909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 podrobne sa upravuje vykonávanie konzulárnych funkcií vykonávaných diplomatickou misiou a konzulárnym úradom na úseku dokladov a evidencií všeobecnej vnútornej správy a iných zverených konzulárnych funkcií,</w:t>
      </w:r>
    </w:p>
    <w:p w:rsidR="00AE0909" w:rsidRDefault="00AE0909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- </w:t>
      </w:r>
      <w:r w:rsidR="003B62A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upravuje</w:t>
      </w:r>
      <w:r w:rsidR="00A57E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sa</w:t>
      </w:r>
      <w:r w:rsidR="003B62A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poskytovanie súčinnosti diplomatickou misiou a konzulárnym úradom,</w:t>
      </w:r>
    </w:p>
    <w:p w:rsidR="007D5748" w:rsidRDefault="00AE0909" w:rsidP="00AE09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</w:t>
      </w:r>
      <w:r w:rsidR="003B62A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F46A7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ustanovujú sa </w:t>
      </w:r>
      <w:r w:rsidR="003B62A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f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unkcie diplomatickej misie a konzulárneho úradu na úseku vyhotovovania listín a ich prekladov,</w:t>
      </w:r>
    </w:p>
    <w:p w:rsidR="00AE0909" w:rsidRDefault="00F46A73" w:rsidP="00AE09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 ustanovujú sa</w:t>
      </w:r>
      <w:r w:rsidR="00AE09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konzulárne funkcie vykonávané v ústredí,</w:t>
      </w:r>
    </w:p>
    <w:p w:rsidR="00AE0909" w:rsidRDefault="00AE0909" w:rsidP="00AE09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</w:t>
      </w:r>
      <w:r w:rsidR="003B62A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samostatne sa upravuje problematika konzulárnej ochrany vrátane konzulárnej ochrany občanov EÚ v tretích krajinách</w:t>
      </w:r>
      <w:r w:rsidR="00F46A7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</w:p>
    <w:p w:rsidR="003B62A6" w:rsidRDefault="003B62A6" w:rsidP="00AE09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 navrhuje sa zadefinovať zahraničnú službu v dočasnej štátnej službe vrátane jej dôvodov,</w:t>
      </w:r>
    </w:p>
    <w:p w:rsidR="003B62A6" w:rsidRDefault="003B62A6" w:rsidP="00AE09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</w:t>
      </w:r>
      <w:r w:rsidR="00F46A7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navrhuje sa zadefinovať spôsoby obsadzovania štátnozamestnaneckých miest na zastupiteľských úradoch SR</w:t>
      </w:r>
      <w:r w:rsidR="00F46A7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3B62A6" w:rsidRDefault="003B62A6" w:rsidP="00AE09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 navrhuje sa povinná príprava v súvislosti s vykonávaním zahraničnej služby aj pre občanov prijatých do zahraničnej služby v dočasnej štátnej službe,</w:t>
      </w:r>
    </w:p>
    <w:p w:rsidR="003B62A6" w:rsidRDefault="003B62A6" w:rsidP="00AE09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</w:t>
      </w:r>
      <w:r w:rsidR="00D04A2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navrhuje</w:t>
      </w:r>
      <w:r w:rsidR="00F46A7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sa </w:t>
      </w:r>
      <w:r w:rsidR="002D3F0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upraviť zastupovanie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vedúceho štátneho zamestnanca na zastupiteľskom úrade,</w:t>
      </w:r>
    </w:p>
    <w:p w:rsidR="003B62A6" w:rsidRDefault="003B62A6" w:rsidP="00AE09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 navrhuje sa zjednotenie  spôsobu určenia sumy náhrady škody spôsobenej z nedbanlivosti štátnym zames</w:t>
      </w:r>
      <w:r w:rsidR="00B3492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tnancom v zahraničnej službe so spôsobom určenia takejto náhrady škody štátnym zamestnancom a zamestnancom vykonávajúcim práce vo verejnom záujme,</w:t>
      </w:r>
    </w:p>
    <w:p w:rsidR="00B34929" w:rsidRDefault="00B34929" w:rsidP="00AE09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 navrhuje sa ustanoviť zmenu štátnozamestnaneckého pomeru na ministerstve z dôvodu poverenia vedením diplomatickej misie alebo stálej misie ministrom,</w:t>
      </w:r>
    </w:p>
    <w:p w:rsidR="00B34929" w:rsidRDefault="00B34929" w:rsidP="00AE09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 navrhuje sa úprava zmeny štátnozamestnaneckého pomeru štátneho zamestnanca z dôvodu vyslania na vykonávanie funkcie v orgáne verejnej moci iného štátu alebo medzinárodnej organizácii, ako aj ustanovenie zaradenia tohto zamestnanca mimo činnú štátnu službu aj pre prípad pôsobenia v orgáne verejnej moci cudzieho štátu a spôsob tohto ustanovenia,</w:t>
      </w:r>
    </w:p>
    <w:p w:rsidR="00B34929" w:rsidRDefault="00B34929" w:rsidP="00AE09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 navrhuje sa spôsob zaradenia do funkcie veľvyslanec s osobitným poslaním,</w:t>
      </w:r>
    </w:p>
    <w:p w:rsidR="00B34929" w:rsidRDefault="00B34929" w:rsidP="00AE09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 navrhuje sa ustanoviť príplatok za riadenie pri poverení vedením diplomatickej misie alebo stálej misie</w:t>
      </w:r>
      <w:r w:rsidR="006E54D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</w:p>
    <w:p w:rsidR="006E54DC" w:rsidRDefault="006E54DC" w:rsidP="00AE09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 navrhuje sa, aby okamihom dočasného vyslania, dočasného preloženia alebo poskytnutia služobného voľna sa štátnozamestnanecké miesto štá</w:t>
      </w:r>
      <w:r w:rsidR="00D04A2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neho zamestnanca považovalo za voľné štátnozamestnanecké miesto,</w:t>
      </w:r>
    </w:p>
    <w:p w:rsidR="006E54DC" w:rsidRDefault="006E54DC" w:rsidP="00AE09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- upravuje sa čerpanie materskej dovolenky, resp. dočasnej pracovnej neschopnosti sa nepovažuje za prekážku, ktorá má vplyv na trvanie dočasného vyslania</w:t>
      </w:r>
      <w:r w:rsidR="00D04A2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3B62A6" w:rsidRDefault="003B62A6" w:rsidP="00AE09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B62A6" w:rsidRPr="007D5748" w:rsidRDefault="003B62A6" w:rsidP="00AE0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D04A2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D04A2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D04A2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412CC6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412CC6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412CC6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412CC6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412CC6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412CC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412CC6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412CC6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412CC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412CC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412CC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412CC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412CC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412CC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412CC6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533AF0" w:rsidRPr="007D5748" w:rsidTr="00AE0909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3AF0" w:rsidRPr="007D5748" w:rsidRDefault="00533AF0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3AF0" w:rsidRPr="007D5748" w:rsidRDefault="00533AF0" w:rsidP="00AE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3AF0" w:rsidRPr="007D5748" w:rsidRDefault="00533AF0" w:rsidP="00AE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3AF0" w:rsidRPr="007D5748" w:rsidRDefault="00533AF0" w:rsidP="00AE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3AF0" w:rsidRPr="007D5748" w:rsidRDefault="00533AF0" w:rsidP="00AE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F0" w:rsidRPr="007D5748" w:rsidRDefault="00533AF0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412CC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533AF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533AF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533AF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533AF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412CC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533AF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533AF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533AF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33AF0" w:rsidRDefault="00533AF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33A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33AF0" w:rsidRPr="007D5748" w:rsidTr="00412CC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F0" w:rsidRPr="007D5748" w:rsidRDefault="00533AF0" w:rsidP="0053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AF0" w:rsidRPr="007D5748" w:rsidRDefault="00533AF0" w:rsidP="0053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AF0" w:rsidRPr="007D5748" w:rsidRDefault="00533AF0" w:rsidP="0053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AF0" w:rsidRPr="007D5748" w:rsidRDefault="00533AF0" w:rsidP="0053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AF0" w:rsidRPr="00533AF0" w:rsidRDefault="00533AF0" w:rsidP="0053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33A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AF0" w:rsidRPr="007D5748" w:rsidRDefault="00533AF0" w:rsidP="0053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33AF0" w:rsidRPr="007D5748" w:rsidTr="00412CC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F0" w:rsidRPr="007D5748" w:rsidRDefault="00533AF0" w:rsidP="0053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AF0" w:rsidRPr="00533AF0" w:rsidRDefault="00533AF0" w:rsidP="0053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533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AF0" w:rsidRPr="00533AF0" w:rsidRDefault="00533AF0" w:rsidP="0053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533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AF0" w:rsidRPr="00533AF0" w:rsidRDefault="00533AF0" w:rsidP="0053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533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AF0" w:rsidRPr="00533AF0" w:rsidRDefault="00533AF0" w:rsidP="0053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33A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AF0" w:rsidRPr="007D5748" w:rsidRDefault="00533AF0" w:rsidP="0053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33AF0" w:rsidRPr="007D5748" w:rsidTr="00412CC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F0" w:rsidRPr="007D5748" w:rsidRDefault="00533AF0" w:rsidP="0053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AF0" w:rsidRPr="007D5748" w:rsidRDefault="00533AF0" w:rsidP="0053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AF0" w:rsidRPr="007D5748" w:rsidRDefault="00533AF0" w:rsidP="0053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AF0" w:rsidRPr="007D5748" w:rsidRDefault="00533AF0" w:rsidP="0053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AF0" w:rsidRPr="00533AF0" w:rsidRDefault="00533AF0" w:rsidP="0053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33A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AF0" w:rsidRPr="007D5748" w:rsidRDefault="00533AF0" w:rsidP="0053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33AF0" w:rsidRPr="007D5748" w:rsidTr="00412CC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F0" w:rsidRPr="007D5748" w:rsidRDefault="00533AF0" w:rsidP="0053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AF0" w:rsidRPr="007D5748" w:rsidRDefault="00533AF0" w:rsidP="0053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AF0" w:rsidRPr="007D5748" w:rsidRDefault="00533AF0" w:rsidP="0053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AF0" w:rsidRPr="007D5748" w:rsidRDefault="00533AF0" w:rsidP="0053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AF0" w:rsidRPr="00533AF0" w:rsidRDefault="00533AF0" w:rsidP="0053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33A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AF0" w:rsidRPr="007D5748" w:rsidRDefault="00533AF0" w:rsidP="0053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33AF0" w:rsidRPr="007D5748" w:rsidTr="00412CC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F0" w:rsidRPr="007D5748" w:rsidRDefault="00533AF0" w:rsidP="00533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AF0" w:rsidRPr="007D5748" w:rsidRDefault="00533AF0" w:rsidP="0053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AF0" w:rsidRPr="007D5748" w:rsidRDefault="00533AF0" w:rsidP="0053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AF0" w:rsidRPr="007D5748" w:rsidRDefault="00533AF0" w:rsidP="0053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AF0" w:rsidRPr="00533AF0" w:rsidRDefault="00533AF0" w:rsidP="0053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33A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AF0" w:rsidRPr="007D5748" w:rsidRDefault="00533AF0" w:rsidP="0053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33AF0" w:rsidRPr="007D5748" w:rsidTr="00412CC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F0" w:rsidRPr="007D5748" w:rsidRDefault="00533AF0" w:rsidP="0053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AF0" w:rsidRPr="007D5748" w:rsidRDefault="00533AF0" w:rsidP="0053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AF0" w:rsidRPr="007D5748" w:rsidRDefault="00533AF0" w:rsidP="0053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AF0" w:rsidRPr="007D5748" w:rsidRDefault="00533AF0" w:rsidP="0053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AF0" w:rsidRPr="00533AF0" w:rsidRDefault="00533AF0" w:rsidP="0053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33A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AF0" w:rsidRPr="007D5748" w:rsidRDefault="00533AF0" w:rsidP="0053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33AF0" w:rsidRPr="007D5748" w:rsidTr="00412CC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F0" w:rsidRPr="007D5748" w:rsidRDefault="00533AF0" w:rsidP="0053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AF0" w:rsidRPr="007D5748" w:rsidRDefault="00533AF0" w:rsidP="0053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AF0" w:rsidRPr="007D5748" w:rsidRDefault="00533AF0" w:rsidP="0053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AF0" w:rsidRPr="007D5748" w:rsidRDefault="00533AF0" w:rsidP="0053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AF0" w:rsidRPr="00533AF0" w:rsidRDefault="00533AF0" w:rsidP="0053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33A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AF0" w:rsidRPr="007D5748" w:rsidRDefault="00533AF0" w:rsidP="0053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33AF0" w:rsidRPr="007D5748" w:rsidTr="00412CC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F0" w:rsidRPr="007D5748" w:rsidRDefault="00533AF0" w:rsidP="00533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3AF0" w:rsidRPr="007D5748" w:rsidRDefault="00533AF0" w:rsidP="0053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3AF0" w:rsidRPr="007D5748" w:rsidRDefault="00533AF0" w:rsidP="0053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3AF0" w:rsidRPr="007D5748" w:rsidRDefault="00533AF0" w:rsidP="0053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3AF0" w:rsidRPr="00533AF0" w:rsidRDefault="00533AF0" w:rsidP="0053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33A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AF0" w:rsidRPr="007D5748" w:rsidRDefault="00533AF0" w:rsidP="0053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33AF0" w:rsidRPr="007D5748" w:rsidTr="00412CC6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3AF0" w:rsidRPr="007D5748" w:rsidRDefault="00533AF0" w:rsidP="00533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3AF0" w:rsidRPr="007D5748" w:rsidRDefault="00533AF0" w:rsidP="0053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3AF0" w:rsidRPr="007D5748" w:rsidRDefault="00533AF0" w:rsidP="0053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3AF0" w:rsidRPr="007D5748" w:rsidRDefault="00533AF0" w:rsidP="0053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3AF0" w:rsidRPr="007D5748" w:rsidRDefault="00533AF0" w:rsidP="0053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33AF0" w:rsidRPr="007D5748" w:rsidRDefault="00533AF0" w:rsidP="0053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412CC6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412CC6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412CC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412CC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412CC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412CC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412CC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412CC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412CC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412CC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412CC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412CC6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412CC6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412CC6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412CC6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7D57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B3623" w:rsidRDefault="00CB3623"/>
    <w:sectPr w:rsidR="00CB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562" w:rsidRDefault="006F7562">
      <w:pPr>
        <w:spacing w:after="0" w:line="240" w:lineRule="auto"/>
      </w:pPr>
      <w:r>
        <w:separator/>
      </w:r>
    </w:p>
  </w:endnote>
  <w:endnote w:type="continuationSeparator" w:id="0">
    <w:p w:rsidR="006F7562" w:rsidRDefault="006F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62" w:rsidRDefault="006F756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6F7562" w:rsidRDefault="006F756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62" w:rsidRDefault="006F756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A33C3F">
      <w:rPr>
        <w:noProof/>
      </w:rPr>
      <w:t>1</w:t>
    </w:r>
    <w:r>
      <w:fldChar w:fldCharType="end"/>
    </w:r>
  </w:p>
  <w:p w:rsidR="006F7562" w:rsidRDefault="006F7562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62" w:rsidRDefault="006F756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6F7562" w:rsidRDefault="006F756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562" w:rsidRDefault="006F7562">
      <w:pPr>
        <w:spacing w:after="0" w:line="240" w:lineRule="auto"/>
      </w:pPr>
      <w:r>
        <w:separator/>
      </w:r>
    </w:p>
  </w:footnote>
  <w:footnote w:type="continuationSeparator" w:id="0">
    <w:p w:rsidR="006F7562" w:rsidRDefault="006F7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62" w:rsidRDefault="006F7562" w:rsidP="00412CC6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6F7562" w:rsidRPr="00EB59C8" w:rsidRDefault="006F7562" w:rsidP="00412CC6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62" w:rsidRPr="0024067A" w:rsidRDefault="006F7562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62" w:rsidRPr="000A15AE" w:rsidRDefault="006F7562" w:rsidP="00412CC6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35EB6"/>
    <w:rsid w:val="00057135"/>
    <w:rsid w:val="001127A8"/>
    <w:rsid w:val="00170D2B"/>
    <w:rsid w:val="00196F1B"/>
    <w:rsid w:val="00200898"/>
    <w:rsid w:val="00212894"/>
    <w:rsid w:val="002D3F00"/>
    <w:rsid w:val="00317B90"/>
    <w:rsid w:val="003B62A6"/>
    <w:rsid w:val="00412CC6"/>
    <w:rsid w:val="005005EC"/>
    <w:rsid w:val="00533AF0"/>
    <w:rsid w:val="00611EEF"/>
    <w:rsid w:val="00642C68"/>
    <w:rsid w:val="006E54DC"/>
    <w:rsid w:val="006F7562"/>
    <w:rsid w:val="007246BD"/>
    <w:rsid w:val="007D5748"/>
    <w:rsid w:val="008D339D"/>
    <w:rsid w:val="008E2736"/>
    <w:rsid w:val="008F404E"/>
    <w:rsid w:val="009706B7"/>
    <w:rsid w:val="0097305A"/>
    <w:rsid w:val="00A001BD"/>
    <w:rsid w:val="00A33C3F"/>
    <w:rsid w:val="00A57EC0"/>
    <w:rsid w:val="00AE0909"/>
    <w:rsid w:val="00B34929"/>
    <w:rsid w:val="00B62C0B"/>
    <w:rsid w:val="00C15212"/>
    <w:rsid w:val="00C51FD4"/>
    <w:rsid w:val="00CB3623"/>
    <w:rsid w:val="00D04A27"/>
    <w:rsid w:val="00DE5BF1"/>
    <w:rsid w:val="00E07CE9"/>
    <w:rsid w:val="00E963A3"/>
    <w:rsid w:val="00EA1E90"/>
    <w:rsid w:val="00EE22CC"/>
    <w:rsid w:val="00F40136"/>
    <w:rsid w:val="00F4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E9E58-3987-4F4C-A722-60D8304E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Viktor VALLA</cp:lastModifiedBy>
  <cp:revision>2</cp:revision>
  <cp:lastPrinted>2017-08-16T09:23:00Z</cp:lastPrinted>
  <dcterms:created xsi:type="dcterms:W3CDTF">2017-08-16T12:11:00Z</dcterms:created>
  <dcterms:modified xsi:type="dcterms:W3CDTF">2017-08-16T12:11:00Z</dcterms:modified>
</cp:coreProperties>
</file>