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pt;height:59.95pt" o:ole="">
            <v:imagedata r:id="rId9" o:title=""/>
          </v:shape>
          <o:OLEObject Type="Embed" ProgID="Imaging.Document" ShapeID="_x0000_i1025" DrawAspect="Content" ObjectID="_1563873252"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5F7920">
        <w:rPr>
          <w:rStyle w:val="PsacstrojHTML"/>
          <w:rFonts w:ascii="Arial Narrow" w:hAnsi="Arial Narrow"/>
          <w:sz w:val="22"/>
          <w:szCs w:val="22"/>
        </w:rPr>
        <w:t>02</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541F12" w:rsidRPr="00B8512B" w:rsidRDefault="00194204" w:rsidP="00B8512B">
      <w:pPr>
        <w:pStyle w:val="Odsekzoznamu"/>
        <w:numPr>
          <w:ilvl w:val="0"/>
          <w:numId w:val="22"/>
        </w:numPr>
        <w:ind w:left="360"/>
        <w:contextualSpacing/>
        <w:jc w:val="center"/>
        <w:rPr>
          <w:rFonts w:ascii="Arial Narrow" w:eastAsia="Arial Unicode MS" w:hAnsi="Arial Narrow" w:cs="Arial Unicode MS"/>
          <w:sz w:val="22"/>
          <w:szCs w:val="22"/>
          <w:lang w:val="sk-SK" w:eastAsia="en-US"/>
        </w:rPr>
      </w:pPr>
      <w:r w:rsidRPr="00B8512B">
        <w:rPr>
          <w:rFonts w:ascii="Arial Narrow" w:eastAsia="Arial Unicode MS" w:hAnsi="Arial Narrow" w:cs="Arial Unicode MS"/>
          <w:sz w:val="22"/>
          <w:szCs w:val="22"/>
        </w:rPr>
        <w:t>k</w:t>
      </w:r>
      <w:r w:rsidR="001B2E9C" w:rsidRPr="00B8512B">
        <w:rPr>
          <w:rFonts w:ascii="Arial Narrow" w:eastAsia="Arial Unicode MS" w:hAnsi="Arial Narrow" w:cs="Arial Unicode MS"/>
          <w:sz w:val="22"/>
          <w:szCs w:val="22"/>
          <w:lang w:val="sk-SK" w:eastAsia="en-US"/>
        </w:rPr>
        <w:t xml:space="preserve"> návrhu </w:t>
      </w:r>
      <w:r w:rsidR="003651E4" w:rsidRPr="00B8512B">
        <w:rPr>
          <w:rFonts w:ascii="Arial Narrow" w:eastAsia="Arial Unicode MS" w:hAnsi="Arial Narrow" w:cs="Arial Unicode MS"/>
          <w:sz w:val="22"/>
          <w:szCs w:val="22"/>
          <w:lang w:val="sk-SK" w:eastAsia="en-US"/>
        </w:rPr>
        <w:t>zákona, ktorým sa mení a dopĺňa zákon č. </w:t>
      </w:r>
      <w:r w:rsidR="00B8512B" w:rsidRPr="00B8512B">
        <w:rPr>
          <w:rFonts w:ascii="Arial Narrow" w:eastAsia="Arial Unicode MS" w:hAnsi="Arial Narrow" w:cs="Arial Unicode MS"/>
          <w:sz w:val="22"/>
          <w:szCs w:val="22"/>
          <w:lang w:val="sk-SK" w:eastAsia="en-US"/>
        </w:rPr>
        <w:t>351/2011</w:t>
      </w:r>
      <w:r w:rsidR="003651E4" w:rsidRPr="00B8512B">
        <w:rPr>
          <w:rFonts w:ascii="Arial Narrow" w:eastAsia="Arial Unicode MS" w:hAnsi="Arial Narrow" w:cs="Arial Unicode MS"/>
          <w:sz w:val="22"/>
          <w:szCs w:val="22"/>
          <w:lang w:val="sk-SK" w:eastAsia="en-US"/>
        </w:rPr>
        <w:t xml:space="preserve"> Z. z. o</w:t>
      </w:r>
      <w:r w:rsidR="00B8512B" w:rsidRPr="00B8512B">
        <w:rPr>
          <w:rFonts w:ascii="Arial Narrow" w:eastAsia="Arial Unicode MS" w:hAnsi="Arial Narrow" w:cs="Arial Unicode MS"/>
          <w:sz w:val="22"/>
          <w:szCs w:val="22"/>
          <w:lang w:val="sk-SK" w:eastAsia="en-US"/>
        </w:rPr>
        <w:t xml:space="preserve"> elektronických </w:t>
      </w:r>
      <w:r w:rsidR="00B8512B">
        <w:rPr>
          <w:rFonts w:ascii="Arial Narrow" w:eastAsia="Arial Unicode MS" w:hAnsi="Arial Narrow" w:cs="Arial Unicode MS"/>
          <w:sz w:val="22"/>
          <w:szCs w:val="22"/>
          <w:lang w:val="sk-SK" w:eastAsia="en-US"/>
        </w:rPr>
        <w:t>komunikáciá</w:t>
      </w:r>
      <w:r w:rsidR="00B8512B" w:rsidRPr="00B8512B">
        <w:rPr>
          <w:rFonts w:ascii="Arial Narrow" w:eastAsia="Arial Unicode MS" w:hAnsi="Arial Narrow" w:cs="Arial Unicode MS"/>
          <w:sz w:val="22"/>
          <w:szCs w:val="22"/>
          <w:lang w:val="sk-SK" w:eastAsia="en-US"/>
        </w:rPr>
        <w:t>ch v znení neskorších predpisov a o zmene a doplnení zákona č. 129/2002 Z.</w:t>
      </w:r>
      <w:r w:rsidR="00B8512B">
        <w:rPr>
          <w:rFonts w:ascii="Arial Narrow" w:eastAsia="Arial Unicode MS" w:hAnsi="Arial Narrow" w:cs="Arial Unicode MS"/>
          <w:sz w:val="22"/>
          <w:szCs w:val="22"/>
          <w:lang w:val="sk-SK" w:eastAsia="en-US"/>
        </w:rPr>
        <w:t xml:space="preserve"> </w:t>
      </w:r>
      <w:r w:rsidR="00B8512B" w:rsidRPr="00B8512B">
        <w:rPr>
          <w:rFonts w:ascii="Arial Narrow" w:eastAsia="Arial Unicode MS" w:hAnsi="Arial Narrow" w:cs="Arial Unicode MS"/>
          <w:sz w:val="22"/>
          <w:szCs w:val="22"/>
          <w:lang w:val="sk-SK" w:eastAsia="en-US"/>
        </w:rPr>
        <w:t>z. o integr</w:t>
      </w:r>
      <w:r w:rsidR="00B8512B">
        <w:rPr>
          <w:rFonts w:ascii="Arial Narrow" w:eastAsia="Arial Unicode MS" w:hAnsi="Arial Narrow" w:cs="Arial Unicode MS"/>
          <w:sz w:val="22"/>
          <w:szCs w:val="22"/>
          <w:lang w:val="sk-SK" w:eastAsia="en-US"/>
        </w:rPr>
        <w:t>o</w:t>
      </w:r>
      <w:r w:rsidR="00B8512B" w:rsidRPr="00B8512B">
        <w:rPr>
          <w:rFonts w:ascii="Arial Narrow" w:eastAsia="Arial Unicode MS" w:hAnsi="Arial Narrow" w:cs="Arial Unicode MS"/>
          <w:sz w:val="22"/>
          <w:szCs w:val="22"/>
          <w:lang w:val="sk-SK" w:eastAsia="en-US"/>
        </w:rPr>
        <w:t>vanom záchrannom systéme v znení neskorších predpisov</w:t>
      </w: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4412FC">
        <w:rPr>
          <w:rFonts w:ascii="Arial Narrow" w:eastAsia="Arial Unicode MS" w:hAnsi="Arial Narrow" w:cs="Arial Unicode MS"/>
          <w:sz w:val="22"/>
          <w:szCs w:val="22"/>
        </w:rPr>
        <w:t>1</w:t>
      </w:r>
      <w:r w:rsidR="00343B53">
        <w:rPr>
          <w:rFonts w:ascii="Arial Narrow" w:eastAsia="Arial Unicode MS" w:hAnsi="Arial Narrow" w:cs="Arial Unicode MS"/>
          <w:sz w:val="22"/>
          <w:szCs w:val="22"/>
        </w:rPr>
        <w:t>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4412FC">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E9566D" w:rsidRDefault="004A2266" w:rsidP="00AA60A8">
      <w:pPr>
        <w:contextualSpacing/>
        <w:jc w:val="both"/>
        <w:rPr>
          <w:rFonts w:ascii="Arial Narrow" w:hAnsi="Arial Narrow" w:cs="Arial Narrow"/>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E9566D" w:rsidRPr="00E9566D">
        <w:rPr>
          <w:rFonts w:ascii="Arial Narrow" w:hAnsi="Arial Narrow" w:cs="Arial Narrow"/>
          <w:sz w:val="22"/>
          <w:szCs w:val="22"/>
        </w:rPr>
        <w:t xml:space="preserve">Ministerstvom </w:t>
      </w:r>
      <w:r w:rsidR="00B607DC">
        <w:rPr>
          <w:rFonts w:ascii="Arial Narrow" w:hAnsi="Arial Narrow" w:cs="Arial Narrow"/>
          <w:sz w:val="22"/>
          <w:szCs w:val="22"/>
        </w:rPr>
        <w:t xml:space="preserve">dopravy a výstavby </w:t>
      </w:r>
      <w:r w:rsidR="00E9566D" w:rsidRPr="00E9566D">
        <w:rPr>
          <w:rFonts w:ascii="Arial Narrow" w:hAnsi="Arial Narrow" w:cs="Arial Narrow"/>
          <w:sz w:val="22"/>
          <w:szCs w:val="22"/>
        </w:rPr>
        <w:t xml:space="preserve">SR na </w:t>
      </w:r>
      <w:r w:rsidR="00B607DC">
        <w:rPr>
          <w:rFonts w:ascii="Arial Narrow" w:hAnsi="Arial Narrow" w:cs="Arial Narrow"/>
          <w:sz w:val="22"/>
          <w:szCs w:val="22"/>
        </w:rPr>
        <w:t xml:space="preserve">ako iniciatívny materiál. </w:t>
      </w:r>
    </w:p>
    <w:p w:rsidR="00E9566D" w:rsidRDefault="00E9566D" w:rsidP="00AA60A8">
      <w:pPr>
        <w:contextualSpacing/>
        <w:jc w:val="both"/>
        <w:rPr>
          <w:rFonts w:ascii="Arial Narrow" w:hAnsi="Arial Narrow" w:cs="Arial Narrow"/>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397103" w:rsidRDefault="00397103" w:rsidP="00AA60A8">
      <w:pPr>
        <w:contextualSpacing/>
        <w:jc w:val="both"/>
        <w:rPr>
          <w:rFonts w:ascii="Arial Narrow" w:hAnsi="Arial Narrow" w:cs="Arial Narrow"/>
          <w:b/>
          <w:bCs/>
          <w:sz w:val="22"/>
          <w:szCs w:val="22"/>
        </w:rPr>
      </w:pPr>
    </w:p>
    <w:p w:rsidR="00171A91" w:rsidRPr="00171A91" w:rsidRDefault="00171A91" w:rsidP="00171A91">
      <w:pPr>
        <w:contextualSpacing/>
        <w:jc w:val="both"/>
        <w:rPr>
          <w:rFonts w:ascii="Arial Narrow" w:hAnsi="Arial Narrow"/>
          <w:sz w:val="22"/>
          <w:szCs w:val="22"/>
        </w:rPr>
      </w:pPr>
      <w:r w:rsidRPr="00171A91">
        <w:rPr>
          <w:rFonts w:ascii="Arial Narrow" w:hAnsi="Arial Narrow"/>
          <w:sz w:val="22"/>
          <w:szCs w:val="22"/>
        </w:rPr>
        <w:t xml:space="preserve">V súčasnosti Európska komisia vedie proti Slovenskej republike konanie pre porušenie povinnosti (podľa článku 258 </w:t>
      </w:r>
      <w:r w:rsidRPr="00171A91">
        <w:rPr>
          <w:rFonts w:ascii="Arial Narrow" w:hAnsi="Arial Narrow"/>
          <w:bCs/>
          <w:sz w:val="22"/>
          <w:szCs w:val="22"/>
        </w:rPr>
        <w:t>Zmluvy o fungovaní</w:t>
      </w:r>
      <w:r w:rsidRPr="00171A91">
        <w:rPr>
          <w:rFonts w:ascii="Arial Narrow" w:hAnsi="Arial Narrow"/>
          <w:sz w:val="22"/>
          <w:szCs w:val="22"/>
        </w:rPr>
        <w:t xml:space="preserve"> EÚ). Dňa 29. septembra 2016 bolo Slovenskej republike doručené odôvodnené stanovisko – porušenie č. 2016/0241, v ktorom Európska komisia upozorňuje, že Slovenská republika neprijala všetky potrebné ustanovenia na dosiahnutie úplného súladu so  smernicou o opatreniach  na zníženie nákladov. </w:t>
      </w:r>
      <w:r w:rsidR="00892339">
        <w:rPr>
          <w:rFonts w:ascii="Arial Narrow" w:hAnsi="Arial Narrow"/>
          <w:sz w:val="22"/>
          <w:szCs w:val="22"/>
        </w:rPr>
        <w:t>Z</w:t>
      </w:r>
      <w:r w:rsidRPr="00171A91">
        <w:rPr>
          <w:rFonts w:ascii="Arial Narrow" w:hAnsi="Arial Narrow"/>
          <w:sz w:val="22"/>
          <w:szCs w:val="22"/>
        </w:rPr>
        <w:t>avádza oprávnenie Úradu pre reguláciu elektronických komunikácií a poštových služieb na vydávanie rozhodnutí podľa článku 5 ods. 1 Nariadenia EÚ o prístupe k otvorenému internetu, pričom úrad bude pri ich vydávaní postupovať podľa správneho poriadku. Predkladaný návrh zákona, ktorým sa mení a dopĺňa zákon č. 351/2011 Z. z. a zákon č. 129/2002 Z. z. o integrovanom záchrannom systéme v znení neskorších predpisov súčasne v článku II transponuje Rozhodnutie Európskeho parlamentu a Rady č. 585/2014/EÚ z 15. mája 2014 o zavedení interoperabilnej služby eCall v celej EÚ  (ďalej len „rozhodnutie“). Účelom navrhovanej zákonnej právnej úpravy je teda rozšíriť služby poskytované účastníkom o volanie eCall, pričom lehota pre zavedenie služby eCall podľa rozhodnutia uplynie dňa 1. októbra 2017. Okrem toho sa zákon č. 351/2011 Z. z. dopĺňa o ustanovenia, ktoré majú zabezpečiť rovnaký prístup k tiesňovým službám poskytovaných občanom na čísle tiesňového volania 112 aj pre osoby so zdravotným postihnutím prostredníctvom krátkych textových správ (ďalej len „SMS“). Za účelom zabezpečenia rovnakého prístupu k tiesňovým službám prostredníctvom SMS sú v návrhu zákona uložené rovnaké povinnosti podnikov prevádzkujúcich verejné elektronické komunikačné siete a koordinačných stredísk integrovaného záchranného systému ako pri volaniach na jednotné európske číslo tiesňového volania 112 pri rešpektovaní technologických odlišností medzi volaním a SMS</w:t>
      </w:r>
    </w:p>
    <w:p w:rsidR="00171A91" w:rsidRPr="00171A91" w:rsidRDefault="00171A91" w:rsidP="00171A91">
      <w:pPr>
        <w:contextualSpacing/>
        <w:jc w:val="both"/>
        <w:rPr>
          <w:rFonts w:ascii="Arial Narrow" w:hAnsi="Arial Narrow"/>
          <w:b/>
          <w:sz w:val="22"/>
          <w:szCs w:val="22"/>
        </w:rPr>
      </w:pPr>
    </w:p>
    <w:p w:rsidR="00171A91" w:rsidRPr="00171A91" w:rsidRDefault="00171A91" w:rsidP="00171A91">
      <w:pPr>
        <w:contextualSpacing/>
        <w:jc w:val="both"/>
        <w:rPr>
          <w:rFonts w:ascii="Arial Narrow" w:hAnsi="Arial Narrow"/>
          <w:b/>
          <w:sz w:val="22"/>
          <w:szCs w:val="22"/>
        </w:rPr>
      </w:pPr>
      <w:r w:rsidRPr="00171A91">
        <w:rPr>
          <w:rFonts w:ascii="Arial Narrow" w:hAnsi="Arial Narrow"/>
          <w:b/>
          <w:sz w:val="22"/>
          <w:szCs w:val="22"/>
        </w:rPr>
        <w:t>Návrh zákona má nadobudnúť účinnosť dňa 01.01.2018.</w:t>
      </w:r>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892339">
        <w:rPr>
          <w:rFonts w:ascii="Arial Narrow" w:hAnsi="Arial Narrow"/>
          <w:b/>
          <w:sz w:val="28"/>
          <w:szCs w:val="28"/>
        </w:rPr>
        <w:t> </w:t>
      </w:r>
      <w:r w:rsidRPr="00BA27D4">
        <w:rPr>
          <w:rFonts w:ascii="Arial Narrow" w:hAnsi="Arial Narrow"/>
          <w:b/>
          <w:sz w:val="28"/>
          <w:szCs w:val="28"/>
        </w:rPr>
        <w:t>materiálu</w:t>
      </w:r>
    </w:p>
    <w:p w:rsidR="00892339" w:rsidRDefault="00892339" w:rsidP="00431957">
      <w:pPr>
        <w:contextualSpacing/>
        <w:jc w:val="both"/>
        <w:rPr>
          <w:rFonts w:ascii="Arial Narrow" w:hAnsi="Arial Narrow"/>
          <w:b/>
          <w:sz w:val="28"/>
          <w:szCs w:val="28"/>
        </w:rPr>
      </w:pPr>
    </w:p>
    <w:p w:rsidR="00C31E5F" w:rsidRPr="00C31E5F" w:rsidRDefault="00C31E5F" w:rsidP="00C31E5F">
      <w:pPr>
        <w:contextualSpacing/>
        <w:jc w:val="both"/>
        <w:rPr>
          <w:rFonts w:ascii="Arial Narrow" w:hAnsi="Arial Narrow"/>
          <w:sz w:val="22"/>
          <w:szCs w:val="22"/>
        </w:rPr>
      </w:pPr>
      <w:r w:rsidRPr="00C31E5F">
        <w:rPr>
          <w:rFonts w:ascii="Arial Narrow" w:hAnsi="Arial Narrow"/>
          <w:sz w:val="22"/>
          <w:szCs w:val="22"/>
        </w:rPr>
        <w:t>RÚZ</w:t>
      </w:r>
      <w:r>
        <w:rPr>
          <w:rFonts w:ascii="Arial Narrow" w:hAnsi="Arial Narrow"/>
          <w:sz w:val="22"/>
          <w:szCs w:val="22"/>
        </w:rPr>
        <w:t xml:space="preserve"> po prer</w:t>
      </w:r>
      <w:r w:rsidR="00892339">
        <w:rPr>
          <w:rFonts w:ascii="Arial Narrow" w:hAnsi="Arial Narrow"/>
          <w:sz w:val="22"/>
          <w:szCs w:val="22"/>
        </w:rPr>
        <w:t>okovaní návrhu novely zákona o elektronických komunikáciách</w:t>
      </w:r>
      <w:r>
        <w:rPr>
          <w:rFonts w:ascii="Arial Narrow" w:hAnsi="Arial Narrow"/>
          <w:sz w:val="22"/>
          <w:szCs w:val="22"/>
        </w:rPr>
        <w:t xml:space="preserve"> zotrváva</w:t>
      </w:r>
      <w:r w:rsidR="00892339">
        <w:rPr>
          <w:rFonts w:ascii="Arial Narrow" w:hAnsi="Arial Narrow"/>
          <w:sz w:val="22"/>
          <w:szCs w:val="22"/>
        </w:rPr>
        <w:t xml:space="preserve"> aj po medzirezortnom pripomienkovom konaní</w:t>
      </w:r>
      <w:bookmarkStart w:id="0" w:name="_GoBack"/>
      <w:bookmarkEnd w:id="0"/>
      <w:r>
        <w:rPr>
          <w:rFonts w:ascii="Arial Narrow" w:hAnsi="Arial Narrow"/>
          <w:sz w:val="22"/>
          <w:szCs w:val="22"/>
        </w:rPr>
        <w:t xml:space="preserve"> na niektorých pripomienkach, ktoré považuje za zásadné. </w:t>
      </w:r>
      <w:r w:rsidR="002C1A75">
        <w:rPr>
          <w:rFonts w:ascii="Arial Narrow" w:hAnsi="Arial Narrow"/>
          <w:sz w:val="22"/>
          <w:szCs w:val="22"/>
        </w:rPr>
        <w:t xml:space="preserve">Taktiež RÚZ nesúhlasí so zmenami v návrhu novely zákona, ku ktorým došlo v priebehu MPK a preto uplatňuje ďalšie pripomienky. </w:t>
      </w:r>
    </w:p>
    <w:p w:rsidR="00571015" w:rsidRPr="001D4939" w:rsidRDefault="00571015" w:rsidP="00AA60A8">
      <w:pPr>
        <w:contextualSpacing/>
        <w:jc w:val="both"/>
        <w:rPr>
          <w:rFonts w:ascii="Arial Narrow" w:hAnsi="Arial Narrow" w:cs="Arial Narrow"/>
          <w:bCs/>
          <w:sz w:val="22"/>
          <w:szCs w:val="22"/>
        </w:rPr>
      </w:pPr>
    </w:p>
    <w:p w:rsidR="004A2266"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F7920" w:rsidRPr="005F7920" w:rsidRDefault="005F7920" w:rsidP="00AA60A8">
      <w:pPr>
        <w:contextualSpacing/>
        <w:jc w:val="both"/>
        <w:rPr>
          <w:rFonts w:ascii="Arial Narrow" w:hAnsi="Arial Narrow" w:cs="Arial Narrow"/>
          <w:b/>
          <w:bCs/>
          <w:sz w:val="28"/>
          <w:szCs w:val="28"/>
        </w:rPr>
      </w:pPr>
    </w:p>
    <w:p w:rsidR="005F7920" w:rsidRPr="005F7920" w:rsidRDefault="005F7920" w:rsidP="005F7920">
      <w:pPr>
        <w:pStyle w:val="m-6442188705963318772msolistparagraph"/>
        <w:numPr>
          <w:ilvl w:val="0"/>
          <w:numId w:val="29"/>
        </w:numPr>
        <w:shd w:val="clear" w:color="auto" w:fill="FFFFFF"/>
        <w:spacing w:before="0" w:beforeAutospacing="0" w:after="0" w:afterAutospacing="0" w:line="253" w:lineRule="atLeast"/>
        <w:jc w:val="both"/>
        <w:rPr>
          <w:rFonts w:ascii="Arial Narrow" w:hAnsi="Arial Narrow" w:cs="Calibri"/>
          <w:b/>
          <w:color w:val="222222"/>
          <w:sz w:val="22"/>
          <w:szCs w:val="22"/>
        </w:rPr>
      </w:pPr>
      <w:r w:rsidRPr="005F7920">
        <w:rPr>
          <w:rFonts w:ascii="Arial Narrow" w:hAnsi="Arial Narrow" w:cs="Calibri"/>
          <w:b/>
          <w:color w:val="222222"/>
          <w:sz w:val="22"/>
          <w:szCs w:val="22"/>
        </w:rPr>
        <w:t>Zásadná pripomienka k novelizačnému bodu 14.</w:t>
      </w:r>
      <w:r w:rsidRPr="005F7920">
        <w:rPr>
          <w:rFonts w:ascii="Arial Narrow" w:hAnsi="Arial Narrow"/>
          <w:b/>
          <w:color w:val="222222"/>
          <w:sz w:val="14"/>
          <w:szCs w:val="14"/>
        </w:rPr>
        <w:t>   </w:t>
      </w:r>
    </w:p>
    <w:p w:rsidR="005F7920" w:rsidRDefault="005F7920" w:rsidP="005F7920">
      <w:pPr>
        <w:pStyle w:val="m-6442188705963318772msolistparagraph"/>
        <w:shd w:val="clear" w:color="auto" w:fill="FFFFFF"/>
        <w:spacing w:before="0" w:beforeAutospacing="0" w:after="0" w:afterAutospacing="0" w:line="253" w:lineRule="atLeast"/>
        <w:ind w:left="360"/>
        <w:jc w:val="both"/>
        <w:rPr>
          <w:color w:val="222222"/>
          <w:sz w:val="14"/>
          <w:szCs w:val="14"/>
        </w:rPr>
      </w:pPr>
    </w:p>
    <w:p w:rsidR="005F7920" w:rsidRDefault="005F7920" w:rsidP="005F7920">
      <w:pPr>
        <w:pStyle w:val="m-6442188705963318772msolistparagraph"/>
        <w:shd w:val="clear" w:color="auto" w:fill="FFFFFF"/>
        <w:spacing w:before="0" w:beforeAutospacing="0" w:after="0" w:afterAutospacing="0" w:line="253" w:lineRule="atLeast"/>
        <w:ind w:left="360"/>
        <w:jc w:val="both"/>
        <w:rPr>
          <w:rFonts w:ascii="Arial Narrow" w:hAnsi="Arial Narrow" w:cs="Calibri"/>
          <w:color w:val="222222"/>
          <w:sz w:val="22"/>
          <w:szCs w:val="22"/>
        </w:rPr>
      </w:pPr>
      <w:r>
        <w:rPr>
          <w:rFonts w:ascii="Arial Narrow" w:hAnsi="Arial Narrow" w:cs="Calibri"/>
          <w:color w:val="222222"/>
          <w:sz w:val="22"/>
          <w:szCs w:val="22"/>
        </w:rPr>
        <w:t xml:space="preserve">RÚZ navrhuje v </w:t>
      </w:r>
      <w:r w:rsidRPr="005F7920">
        <w:rPr>
          <w:rFonts w:ascii="Arial Narrow" w:hAnsi="Arial Narrow" w:cs="Calibri"/>
          <w:color w:val="222222"/>
          <w:sz w:val="22"/>
          <w:szCs w:val="22"/>
        </w:rPr>
        <w:t xml:space="preserve">§ 67d ods. 1  v prvej vete </w:t>
      </w:r>
      <w:r>
        <w:rPr>
          <w:rFonts w:ascii="Arial Narrow" w:hAnsi="Arial Narrow" w:cs="Calibri"/>
          <w:color w:val="222222"/>
          <w:sz w:val="22"/>
          <w:szCs w:val="22"/>
        </w:rPr>
        <w:t xml:space="preserve"> pred dvojbodku doplniť</w:t>
      </w:r>
      <w:r w:rsidRPr="005F7920">
        <w:rPr>
          <w:rFonts w:ascii="Arial Narrow" w:hAnsi="Arial Narrow" w:cs="Calibri"/>
          <w:color w:val="222222"/>
          <w:sz w:val="22"/>
          <w:szCs w:val="22"/>
        </w:rPr>
        <w:t xml:space="preserve"> slová: „úplne alebo čiastočne financovaných z verejných prostriedkov“</w:t>
      </w:r>
    </w:p>
    <w:p w:rsidR="000A1B55" w:rsidRDefault="000A1B55" w:rsidP="005F7920">
      <w:pPr>
        <w:pStyle w:val="m-6442188705963318772msolistparagraph"/>
        <w:shd w:val="clear" w:color="auto" w:fill="FFFFFF"/>
        <w:spacing w:before="0" w:beforeAutospacing="0" w:after="0" w:afterAutospacing="0" w:line="253" w:lineRule="atLeast"/>
        <w:ind w:left="360"/>
        <w:jc w:val="both"/>
        <w:rPr>
          <w:rFonts w:ascii="Arial Narrow" w:hAnsi="Arial Narrow" w:cs="Calibri"/>
          <w:color w:val="222222"/>
          <w:sz w:val="22"/>
          <w:szCs w:val="22"/>
        </w:rPr>
      </w:pPr>
    </w:p>
    <w:p w:rsidR="000A1B55" w:rsidRPr="005F7920" w:rsidRDefault="000A1B55" w:rsidP="005F7920">
      <w:pPr>
        <w:pStyle w:val="m-6442188705963318772msolistparagraph"/>
        <w:shd w:val="clear" w:color="auto" w:fill="FFFFFF"/>
        <w:spacing w:before="0" w:beforeAutospacing="0" w:after="0" w:afterAutospacing="0" w:line="253" w:lineRule="atLeast"/>
        <w:ind w:left="360"/>
        <w:jc w:val="both"/>
        <w:rPr>
          <w:rFonts w:ascii="Arial Narrow" w:hAnsi="Arial Narrow" w:cs="Calibri"/>
          <w:color w:val="222222"/>
          <w:sz w:val="22"/>
          <w:szCs w:val="22"/>
        </w:rPr>
      </w:pPr>
      <w:r w:rsidRPr="000A1B55">
        <w:rPr>
          <w:rFonts w:ascii="Arial Narrow" w:hAnsi="Arial Narrow" w:cs="Calibri"/>
          <w:b/>
          <w:color w:val="222222"/>
          <w:sz w:val="22"/>
          <w:szCs w:val="22"/>
        </w:rPr>
        <w:lastRenderedPageBreak/>
        <w:t>Odôvodnenie:</w:t>
      </w:r>
      <w:r>
        <w:rPr>
          <w:rFonts w:ascii="Arial Narrow" w:hAnsi="Arial Narrow" w:cs="Calibri"/>
          <w:color w:val="222222"/>
          <w:sz w:val="22"/>
          <w:szCs w:val="22"/>
        </w:rPr>
        <w:t xml:space="preserve"> Súlad so smernicou.</w:t>
      </w:r>
    </w:p>
    <w:p w:rsidR="005F7920" w:rsidRDefault="005F7920" w:rsidP="005F7920">
      <w:pPr>
        <w:pStyle w:val="m-6442188705963318772msolistparagraph"/>
        <w:shd w:val="clear" w:color="auto" w:fill="FFFFFF"/>
        <w:spacing w:before="0" w:beforeAutospacing="0" w:after="0" w:afterAutospacing="0" w:line="253" w:lineRule="atLeast"/>
        <w:ind w:left="720"/>
        <w:jc w:val="both"/>
        <w:rPr>
          <w:rFonts w:ascii="Calibri" w:hAnsi="Calibri" w:cs="Calibri"/>
          <w:color w:val="222222"/>
          <w:sz w:val="22"/>
          <w:szCs w:val="22"/>
        </w:rPr>
      </w:pPr>
      <w:r>
        <w:rPr>
          <w:rFonts w:ascii="Calibri" w:hAnsi="Calibri" w:cs="Calibri"/>
          <w:color w:val="222222"/>
          <w:sz w:val="22"/>
          <w:szCs w:val="22"/>
        </w:rPr>
        <w:t> </w:t>
      </w:r>
    </w:p>
    <w:p w:rsidR="005F7920" w:rsidRDefault="005F7920" w:rsidP="005F7920">
      <w:pPr>
        <w:pStyle w:val="m-6442188705963318772msolistparagraph"/>
        <w:numPr>
          <w:ilvl w:val="0"/>
          <w:numId w:val="29"/>
        </w:numPr>
        <w:shd w:val="clear" w:color="auto" w:fill="FFFFFF"/>
        <w:spacing w:before="0" w:beforeAutospacing="0" w:after="0" w:afterAutospacing="0" w:line="253" w:lineRule="atLeast"/>
        <w:jc w:val="both"/>
        <w:rPr>
          <w:rFonts w:ascii="Arial Narrow" w:hAnsi="Arial Narrow" w:cs="Calibri"/>
          <w:b/>
          <w:color w:val="222222"/>
          <w:sz w:val="22"/>
          <w:szCs w:val="22"/>
        </w:rPr>
      </w:pPr>
      <w:r>
        <w:rPr>
          <w:rFonts w:ascii="Arial Narrow" w:hAnsi="Arial Narrow" w:cs="Calibri"/>
          <w:b/>
          <w:color w:val="222222"/>
          <w:sz w:val="22"/>
          <w:szCs w:val="22"/>
        </w:rPr>
        <w:t xml:space="preserve">Zásadná pripomienka k novelizačnému bodu </w:t>
      </w:r>
      <w:r w:rsidRPr="005F7920">
        <w:rPr>
          <w:rFonts w:ascii="Arial Narrow" w:hAnsi="Arial Narrow" w:cs="Calibri"/>
          <w:b/>
          <w:color w:val="222222"/>
          <w:sz w:val="22"/>
          <w:szCs w:val="22"/>
        </w:rPr>
        <w:t>20</w:t>
      </w:r>
      <w:r w:rsidR="00985E3E">
        <w:rPr>
          <w:rFonts w:ascii="Arial Narrow" w:hAnsi="Arial Narrow" w:cs="Calibri"/>
          <w:b/>
          <w:color w:val="222222"/>
          <w:sz w:val="22"/>
          <w:szCs w:val="22"/>
        </w:rPr>
        <w:t>.</w:t>
      </w:r>
      <w:r w:rsidRPr="005F7920">
        <w:rPr>
          <w:rFonts w:ascii="Arial Narrow" w:hAnsi="Arial Narrow" w:cs="Calibri"/>
          <w:b/>
          <w:color w:val="222222"/>
          <w:sz w:val="22"/>
          <w:szCs w:val="22"/>
        </w:rPr>
        <w:t>  </w:t>
      </w:r>
    </w:p>
    <w:p w:rsidR="005F7920" w:rsidRDefault="005F7920" w:rsidP="005F7920">
      <w:pPr>
        <w:pStyle w:val="m-6442188705963318772msolistparagraph"/>
        <w:shd w:val="clear" w:color="auto" w:fill="FFFFFF"/>
        <w:spacing w:before="0" w:beforeAutospacing="0" w:after="0" w:afterAutospacing="0" w:line="253" w:lineRule="atLeast"/>
        <w:ind w:left="360"/>
        <w:jc w:val="both"/>
        <w:rPr>
          <w:rFonts w:ascii="Arial Narrow" w:hAnsi="Arial Narrow" w:cs="Calibri"/>
          <w:b/>
          <w:color w:val="222222"/>
          <w:sz w:val="22"/>
          <w:szCs w:val="22"/>
        </w:rPr>
      </w:pPr>
    </w:p>
    <w:p w:rsidR="005F7920" w:rsidRPr="005F7920" w:rsidRDefault="005F7920" w:rsidP="005F7920">
      <w:pPr>
        <w:pStyle w:val="m-6442188705963318772msolistparagraph"/>
        <w:shd w:val="clear" w:color="auto" w:fill="FFFFFF"/>
        <w:spacing w:before="0" w:beforeAutospacing="0" w:after="0" w:afterAutospacing="0" w:line="253" w:lineRule="atLeast"/>
        <w:ind w:left="360"/>
        <w:jc w:val="both"/>
        <w:rPr>
          <w:rFonts w:ascii="Arial Narrow" w:hAnsi="Arial Narrow" w:cs="Calibri"/>
          <w:b/>
          <w:color w:val="222222"/>
          <w:sz w:val="22"/>
          <w:szCs w:val="22"/>
        </w:rPr>
      </w:pPr>
      <w:r>
        <w:rPr>
          <w:rFonts w:ascii="Arial Narrow" w:hAnsi="Arial Narrow" w:cs="Calibri"/>
          <w:b/>
          <w:color w:val="222222"/>
          <w:sz w:val="22"/>
          <w:szCs w:val="22"/>
        </w:rPr>
        <w:t xml:space="preserve">RÚZ zásadne nesúhlasí s navrhovaným </w:t>
      </w:r>
      <w:r w:rsidRPr="005F7920">
        <w:rPr>
          <w:rFonts w:ascii="Arial Narrow" w:hAnsi="Arial Narrow" w:cs="Calibri"/>
          <w:b/>
          <w:color w:val="222222"/>
          <w:sz w:val="22"/>
          <w:szCs w:val="22"/>
        </w:rPr>
        <w:t>§ 73</w:t>
      </w:r>
      <w:r>
        <w:rPr>
          <w:rFonts w:ascii="Arial Narrow" w:hAnsi="Arial Narrow" w:cs="Calibri"/>
          <w:b/>
          <w:color w:val="222222"/>
          <w:sz w:val="22"/>
          <w:szCs w:val="22"/>
        </w:rPr>
        <w:t xml:space="preserve"> ods. 4 ktorého znenie je navrhnuté nasledovne: </w:t>
      </w:r>
    </w:p>
    <w:p w:rsidR="00985E3E" w:rsidRPr="00985E3E" w:rsidRDefault="005F7920" w:rsidP="00985E3E">
      <w:pPr>
        <w:pStyle w:val="m-6442188705963318772msolistparagraph"/>
        <w:shd w:val="clear" w:color="auto" w:fill="FFFFFF"/>
        <w:spacing w:before="0" w:beforeAutospacing="0" w:after="0" w:afterAutospacing="0"/>
        <w:ind w:left="426"/>
        <w:jc w:val="both"/>
        <w:rPr>
          <w:rFonts w:ascii="Arial Narrow" w:hAnsi="Arial Narrow"/>
          <w:color w:val="222222"/>
          <w:sz w:val="22"/>
          <w:szCs w:val="22"/>
        </w:rPr>
      </w:pPr>
      <w:r w:rsidRPr="005F7920">
        <w:rPr>
          <w:rFonts w:ascii="Arial Narrow" w:hAnsi="Arial Narrow"/>
          <w:color w:val="222222"/>
          <w:sz w:val="22"/>
          <w:szCs w:val="22"/>
        </w:rPr>
        <w:t>„(4) Úrad uloží povinnej osobe alebo prevádzkovateľovi siete, ktorí nesplnili niektorú z povinností podľa § 67ba ods. 2 pokutu</w:t>
      </w:r>
      <w:r>
        <w:rPr>
          <w:rFonts w:ascii="Arial Narrow" w:hAnsi="Arial Narrow"/>
          <w:color w:val="222222"/>
          <w:sz w:val="22"/>
          <w:szCs w:val="22"/>
        </w:rPr>
        <w:t xml:space="preserve"> </w:t>
      </w:r>
      <w:r w:rsidRPr="005F7920">
        <w:rPr>
          <w:rFonts w:ascii="Arial Narrow" w:hAnsi="Arial Narrow"/>
          <w:b/>
          <w:color w:val="222222"/>
          <w:sz w:val="22"/>
          <w:szCs w:val="22"/>
        </w:rPr>
        <w:t>od 200 Eur do 5% z obratu podľa ods. 5 za predchádzajúce účtovné obdobie</w:t>
      </w:r>
      <w:r>
        <w:rPr>
          <w:rFonts w:ascii="Arial Narrow" w:hAnsi="Arial Narrow"/>
          <w:color w:val="222222"/>
          <w:sz w:val="22"/>
          <w:szCs w:val="22"/>
        </w:rPr>
        <w:t xml:space="preserve">. </w:t>
      </w:r>
      <w:r w:rsidRPr="005F7920">
        <w:rPr>
          <w:rFonts w:ascii="Arial Narrow" w:hAnsi="Arial Narrow"/>
          <w:color w:val="222222"/>
          <w:sz w:val="22"/>
          <w:szCs w:val="22"/>
        </w:rPr>
        <w:t> </w:t>
      </w:r>
    </w:p>
    <w:p w:rsidR="00985E3E" w:rsidRDefault="00985E3E" w:rsidP="005F7920">
      <w:pPr>
        <w:pStyle w:val="m-6442188705963318772msolistparagraph"/>
        <w:shd w:val="clear" w:color="auto" w:fill="FFFFFF"/>
        <w:spacing w:before="0" w:beforeAutospacing="0" w:after="0" w:afterAutospacing="0"/>
        <w:ind w:left="426"/>
        <w:jc w:val="both"/>
        <w:rPr>
          <w:rFonts w:ascii="Calibri" w:hAnsi="Calibri" w:cs="Calibri"/>
          <w:color w:val="222222"/>
          <w:sz w:val="22"/>
          <w:szCs w:val="22"/>
        </w:rPr>
      </w:pPr>
    </w:p>
    <w:p w:rsidR="005F7920" w:rsidRPr="005F7920" w:rsidRDefault="005F7920" w:rsidP="005F7920">
      <w:pPr>
        <w:pStyle w:val="m-6442188705963318772msolistparagraph"/>
        <w:shd w:val="clear" w:color="auto" w:fill="FFFFFF"/>
        <w:spacing w:before="0" w:beforeAutospacing="0" w:after="0" w:afterAutospacing="0"/>
        <w:ind w:left="426"/>
        <w:jc w:val="both"/>
        <w:rPr>
          <w:rFonts w:ascii="Arial Narrow" w:hAnsi="Arial Narrow" w:cs="Calibri"/>
          <w:b/>
          <w:color w:val="222222"/>
          <w:sz w:val="22"/>
          <w:szCs w:val="22"/>
        </w:rPr>
      </w:pPr>
      <w:r w:rsidRPr="005F7920">
        <w:rPr>
          <w:rFonts w:ascii="Arial Narrow" w:hAnsi="Arial Narrow" w:cs="Calibri"/>
          <w:b/>
          <w:color w:val="222222"/>
          <w:sz w:val="22"/>
          <w:szCs w:val="22"/>
        </w:rPr>
        <w:t xml:space="preserve">Odôvodnenie: </w:t>
      </w:r>
    </w:p>
    <w:p w:rsidR="005F7920" w:rsidRPr="005F7920" w:rsidRDefault="005F7920" w:rsidP="005F7920">
      <w:pPr>
        <w:pStyle w:val="m-6442188705963318772msolistparagraph"/>
        <w:shd w:val="clear" w:color="auto" w:fill="FFFFFF"/>
        <w:spacing w:before="0" w:beforeAutospacing="0" w:after="0" w:afterAutospacing="0"/>
        <w:ind w:left="426"/>
        <w:jc w:val="both"/>
        <w:rPr>
          <w:rFonts w:ascii="Arial Narrow" w:hAnsi="Arial Narrow"/>
          <w:color w:val="222222"/>
          <w:sz w:val="22"/>
          <w:szCs w:val="22"/>
        </w:rPr>
      </w:pPr>
    </w:p>
    <w:p w:rsidR="005F7920" w:rsidRDefault="005F7920" w:rsidP="005F7920">
      <w:pPr>
        <w:pStyle w:val="m-6442188705963318772msolistparagraph"/>
        <w:shd w:val="clear" w:color="auto" w:fill="FFFFFF"/>
        <w:spacing w:before="0" w:beforeAutospacing="0" w:after="0" w:afterAutospacing="0"/>
        <w:ind w:left="426"/>
        <w:jc w:val="both"/>
        <w:rPr>
          <w:rFonts w:ascii="Arial Narrow" w:hAnsi="Arial Narrow"/>
          <w:color w:val="222222"/>
          <w:sz w:val="22"/>
          <w:szCs w:val="22"/>
        </w:rPr>
      </w:pPr>
      <w:r w:rsidRPr="005F7920">
        <w:rPr>
          <w:rFonts w:ascii="Arial Narrow" w:hAnsi="Arial Narrow"/>
          <w:color w:val="222222"/>
          <w:sz w:val="22"/>
          <w:szCs w:val="22"/>
        </w:rPr>
        <w:t>Zásadne nesúhlasíme</w:t>
      </w:r>
      <w:r w:rsidR="00985E3E">
        <w:rPr>
          <w:rFonts w:ascii="Arial Narrow" w:hAnsi="Arial Narrow"/>
          <w:color w:val="222222"/>
          <w:sz w:val="22"/>
          <w:szCs w:val="22"/>
        </w:rPr>
        <w:t xml:space="preserve"> so zvýšením hornej hranice pokút na 5 % z obratu</w:t>
      </w:r>
      <w:r w:rsidRPr="005F7920">
        <w:rPr>
          <w:rFonts w:ascii="Arial Narrow" w:hAnsi="Arial Narrow"/>
          <w:color w:val="222222"/>
          <w:sz w:val="22"/>
          <w:szCs w:val="22"/>
        </w:rPr>
        <w:t xml:space="preserve">. Horná hranica pokút za rovnaké delikty je v </w:t>
      </w:r>
      <w:r w:rsidR="00B9246E">
        <w:rPr>
          <w:rFonts w:ascii="Arial Narrow" w:hAnsi="Arial Narrow"/>
          <w:color w:val="222222"/>
          <w:sz w:val="22"/>
          <w:szCs w:val="22"/>
        </w:rPr>
        <w:t>ČR</w:t>
      </w:r>
      <w:r w:rsidRPr="005F7920">
        <w:rPr>
          <w:rFonts w:ascii="Arial Narrow" w:hAnsi="Arial Narrow"/>
          <w:color w:val="222222"/>
          <w:sz w:val="22"/>
          <w:szCs w:val="22"/>
        </w:rPr>
        <w:t xml:space="preserve"> 40 000 €, v SK by to bol  1000</w:t>
      </w:r>
      <w:r w:rsidR="00CB7BC3">
        <w:rPr>
          <w:rFonts w:ascii="Arial Narrow" w:hAnsi="Arial Narrow"/>
          <w:color w:val="222222"/>
          <w:sz w:val="22"/>
          <w:szCs w:val="22"/>
        </w:rPr>
        <w:t>-</w:t>
      </w:r>
      <w:r w:rsidRPr="005F7920">
        <w:rPr>
          <w:rFonts w:ascii="Arial Narrow" w:hAnsi="Arial Narrow"/>
          <w:color w:val="222222"/>
          <w:sz w:val="22"/>
          <w:szCs w:val="22"/>
        </w:rPr>
        <w:t xml:space="preserve">násobok oproti </w:t>
      </w:r>
      <w:r w:rsidR="00B9246E">
        <w:rPr>
          <w:rFonts w:ascii="Arial Narrow" w:hAnsi="Arial Narrow"/>
          <w:color w:val="222222"/>
          <w:sz w:val="22"/>
          <w:szCs w:val="22"/>
        </w:rPr>
        <w:t>ČR</w:t>
      </w:r>
      <w:r w:rsidRPr="005F7920">
        <w:rPr>
          <w:rFonts w:ascii="Arial Narrow" w:hAnsi="Arial Narrow"/>
          <w:color w:val="222222"/>
          <w:sz w:val="22"/>
          <w:szCs w:val="22"/>
        </w:rPr>
        <w:t xml:space="preserve"> – absolútna nep</w:t>
      </w:r>
      <w:r>
        <w:rPr>
          <w:rFonts w:ascii="Arial Narrow" w:hAnsi="Arial Narrow"/>
          <w:color w:val="222222"/>
          <w:sz w:val="22"/>
          <w:szCs w:val="22"/>
        </w:rPr>
        <w:t xml:space="preserve">rimeranosť a neproporcionalita. RÚZ navrhuje </w:t>
      </w:r>
      <w:r w:rsidRPr="005F7920">
        <w:rPr>
          <w:rFonts w:ascii="Arial Narrow" w:hAnsi="Arial Narrow"/>
          <w:color w:val="222222"/>
          <w:sz w:val="22"/>
          <w:szCs w:val="22"/>
        </w:rPr>
        <w:t xml:space="preserve">zostať pri pôvodnom znení </w:t>
      </w:r>
      <w:r w:rsidR="00CB7BC3">
        <w:rPr>
          <w:rFonts w:ascii="Arial Narrow" w:hAnsi="Arial Narrow"/>
          <w:color w:val="222222"/>
          <w:sz w:val="22"/>
          <w:szCs w:val="22"/>
        </w:rPr>
        <w:t xml:space="preserve">z návrhu v MPK </w:t>
      </w:r>
      <w:r w:rsidRPr="005F7920">
        <w:rPr>
          <w:rFonts w:ascii="Arial Narrow" w:hAnsi="Arial Narrow"/>
          <w:color w:val="222222"/>
          <w:sz w:val="22"/>
          <w:szCs w:val="22"/>
        </w:rPr>
        <w:t>do 100</w:t>
      </w:r>
      <w:r>
        <w:rPr>
          <w:rFonts w:ascii="Arial Narrow" w:hAnsi="Arial Narrow"/>
          <w:color w:val="222222"/>
          <w:sz w:val="22"/>
          <w:szCs w:val="22"/>
        </w:rPr>
        <w:t> </w:t>
      </w:r>
      <w:r w:rsidRPr="005F7920">
        <w:rPr>
          <w:rFonts w:ascii="Arial Narrow" w:hAnsi="Arial Narrow"/>
          <w:color w:val="222222"/>
          <w:sz w:val="22"/>
          <w:szCs w:val="22"/>
        </w:rPr>
        <w:t>000</w:t>
      </w:r>
      <w:r>
        <w:rPr>
          <w:rFonts w:ascii="Arial Narrow" w:hAnsi="Arial Narrow"/>
          <w:color w:val="222222"/>
          <w:sz w:val="22"/>
          <w:szCs w:val="22"/>
        </w:rPr>
        <w:t xml:space="preserve"> Eur</w:t>
      </w:r>
      <w:r w:rsidRPr="005F7920">
        <w:rPr>
          <w:rFonts w:ascii="Arial Narrow" w:hAnsi="Arial Narrow"/>
          <w:color w:val="222222"/>
          <w:sz w:val="22"/>
          <w:szCs w:val="22"/>
        </w:rPr>
        <w:t>, resp. do 0,05% z obratu.</w:t>
      </w:r>
    </w:p>
    <w:p w:rsidR="00B9246E" w:rsidRDefault="00B9246E" w:rsidP="005F7920">
      <w:pPr>
        <w:pStyle w:val="m-6442188705963318772msolistparagraph"/>
        <w:shd w:val="clear" w:color="auto" w:fill="FFFFFF"/>
        <w:spacing w:before="0" w:beforeAutospacing="0" w:after="0" w:afterAutospacing="0"/>
        <w:ind w:left="426"/>
        <w:jc w:val="both"/>
        <w:rPr>
          <w:rFonts w:ascii="Arial Narrow" w:hAnsi="Arial Narrow"/>
          <w:color w:val="222222"/>
          <w:sz w:val="22"/>
          <w:szCs w:val="22"/>
        </w:rPr>
      </w:pPr>
    </w:p>
    <w:p w:rsidR="00985E3E" w:rsidRPr="00985E3E" w:rsidRDefault="00985E3E" w:rsidP="00985E3E">
      <w:pPr>
        <w:pStyle w:val="Odsekzoznamu"/>
        <w:numPr>
          <w:ilvl w:val="0"/>
          <w:numId w:val="29"/>
        </w:numPr>
        <w:autoSpaceDE w:val="0"/>
        <w:autoSpaceDN w:val="0"/>
        <w:adjustRightInd w:val="0"/>
        <w:spacing w:after="120"/>
        <w:jc w:val="both"/>
        <w:rPr>
          <w:rFonts w:ascii="Arial Narrow" w:hAnsi="Arial Narrow"/>
          <w:color w:val="222222"/>
          <w:sz w:val="22"/>
          <w:szCs w:val="22"/>
          <w:lang w:val="sk-SK" w:eastAsia="sk-SK"/>
        </w:rPr>
      </w:pPr>
      <w:r w:rsidRPr="00985E3E">
        <w:rPr>
          <w:rFonts w:ascii="Arial Narrow" w:hAnsi="Arial Narrow"/>
          <w:b/>
          <w:color w:val="222222"/>
          <w:sz w:val="22"/>
          <w:szCs w:val="22"/>
          <w:lang w:val="sk-SK" w:eastAsia="sk-SK"/>
        </w:rPr>
        <w:t>Nové body</w:t>
      </w:r>
      <w:r w:rsidRPr="00985E3E">
        <w:rPr>
          <w:rFonts w:ascii="Arial Narrow" w:hAnsi="Arial Narrow"/>
          <w:color w:val="222222"/>
          <w:sz w:val="22"/>
          <w:szCs w:val="22"/>
          <w:lang w:val="sk-SK" w:eastAsia="sk-SK"/>
        </w:rPr>
        <w:t xml:space="preserve"> (ďalšie body sa prečíslujú)</w:t>
      </w:r>
    </w:p>
    <w:p w:rsidR="00985E3E" w:rsidRPr="00985E3E" w:rsidRDefault="00985E3E" w:rsidP="00985E3E">
      <w:pPr>
        <w:spacing w:after="120"/>
        <w:ind w:left="360"/>
        <w:jc w:val="both"/>
        <w:rPr>
          <w:rFonts w:ascii="Arial Narrow" w:hAnsi="Arial Narrow"/>
          <w:color w:val="222222"/>
          <w:sz w:val="22"/>
          <w:szCs w:val="22"/>
          <w:lang w:eastAsia="sk-SK"/>
        </w:rPr>
      </w:pPr>
      <w:r w:rsidRPr="00985E3E">
        <w:rPr>
          <w:rFonts w:ascii="Arial Narrow" w:hAnsi="Arial Narrow"/>
          <w:color w:val="222222"/>
          <w:sz w:val="22"/>
          <w:szCs w:val="22"/>
          <w:lang w:eastAsia="sk-SK"/>
        </w:rPr>
        <w:t xml:space="preserve">V § 15 ods. 3 poslednej vete sa slová „podľa § 13 ods. 1, § 27, § 50 ods. 5 a § 66.“ nahrádzajú slovami „podľa § 13 ods. 1, § 27 a § 50 ods. 5.“ a na konci sa pripájajú tieto vety: „V prípade ak sú podniku pridelené frekvencie individuálnym povolením alebo ak podnik poskytuje verejnú sieť celonárodne alebo ak podnik napĺňa ciele národnej stratégie schválenej vládou SR62), a zároveň je prepojený s iným podnikom podľa § 27 a plní povinnosti podľa § 41, úrad na základe žiadosti podniku potvrdí aj informácie týkajúce sa práv podľa § 66 ods. 1. </w:t>
      </w:r>
    </w:p>
    <w:p w:rsidR="00985E3E" w:rsidRPr="00985E3E" w:rsidRDefault="00985E3E" w:rsidP="00985E3E">
      <w:pPr>
        <w:spacing w:after="120"/>
        <w:ind w:left="360"/>
        <w:jc w:val="both"/>
        <w:rPr>
          <w:rFonts w:ascii="Arial Narrow" w:hAnsi="Arial Narrow"/>
          <w:color w:val="222222"/>
          <w:sz w:val="22"/>
          <w:szCs w:val="22"/>
          <w:lang w:eastAsia="sk-SK"/>
        </w:rPr>
      </w:pPr>
      <w:r w:rsidRPr="00985E3E">
        <w:rPr>
          <w:rFonts w:ascii="Arial Narrow" w:hAnsi="Arial Narrow"/>
          <w:color w:val="222222"/>
          <w:sz w:val="22"/>
          <w:szCs w:val="22"/>
          <w:lang w:eastAsia="sk-SK"/>
        </w:rPr>
        <w:t xml:space="preserve">Do poznámok pod čiarou sa dopĺňa nový odkaz 62 s nasledovným znením: „62) napr. Národná stratégia pre širokopásmový prístup v SR“. </w:t>
      </w:r>
    </w:p>
    <w:p w:rsidR="00985E3E" w:rsidRPr="00985E3E" w:rsidRDefault="00985E3E" w:rsidP="00985E3E">
      <w:pPr>
        <w:pStyle w:val="Odsekzoznamu"/>
        <w:spacing w:after="120"/>
        <w:ind w:left="360"/>
        <w:jc w:val="both"/>
        <w:rPr>
          <w:rFonts w:ascii="Arial Narrow" w:hAnsi="Arial Narrow"/>
          <w:color w:val="222222"/>
          <w:sz w:val="22"/>
          <w:szCs w:val="22"/>
          <w:lang w:val="sk-SK" w:eastAsia="sk-SK"/>
        </w:rPr>
      </w:pPr>
      <w:r w:rsidRPr="00985E3E">
        <w:rPr>
          <w:rFonts w:ascii="Arial Narrow" w:hAnsi="Arial Narrow"/>
          <w:color w:val="222222"/>
          <w:sz w:val="22"/>
          <w:szCs w:val="22"/>
          <w:lang w:val="sk-SK" w:eastAsia="sk-SK"/>
        </w:rPr>
        <w:t xml:space="preserve">V § 66 ods. 1 prvá veta znie: „Podnik, ktorému úrad potvrdí práva a povinnosti k cudzím nehnuteľnostiam podľa § 15 ods. 3, môže v nevyhnutnom rozsahu a vo verejnom záujme. </w:t>
      </w:r>
    </w:p>
    <w:p w:rsidR="00985E3E" w:rsidRPr="00985E3E" w:rsidRDefault="00985E3E" w:rsidP="00985E3E">
      <w:pPr>
        <w:pStyle w:val="Odsekzoznamu"/>
        <w:spacing w:after="120"/>
        <w:ind w:left="0" w:firstLine="360"/>
        <w:jc w:val="both"/>
        <w:rPr>
          <w:rFonts w:ascii="Arial Narrow" w:hAnsi="Arial Narrow"/>
          <w:color w:val="222222"/>
          <w:sz w:val="22"/>
          <w:szCs w:val="22"/>
          <w:lang w:val="sk-SK" w:eastAsia="sk-SK"/>
        </w:rPr>
      </w:pPr>
      <w:r w:rsidRPr="00985E3E">
        <w:rPr>
          <w:rFonts w:ascii="Arial Narrow" w:hAnsi="Arial Narrow"/>
          <w:color w:val="222222"/>
          <w:sz w:val="22"/>
          <w:szCs w:val="22"/>
          <w:lang w:val="sk-SK" w:eastAsia="sk-SK"/>
        </w:rPr>
        <w:t xml:space="preserve">V § 66 ods. 2 sa v druhej vete nahrádza slovo „podá“ slovami „je oprávnený podať“. </w:t>
      </w:r>
    </w:p>
    <w:p w:rsidR="00985E3E" w:rsidRPr="00985E3E" w:rsidRDefault="00985E3E" w:rsidP="00985E3E">
      <w:pPr>
        <w:pStyle w:val="Odsekzoznamu"/>
        <w:spacing w:after="120"/>
        <w:ind w:left="360"/>
        <w:jc w:val="both"/>
        <w:rPr>
          <w:rFonts w:ascii="Arial Narrow" w:hAnsi="Arial Narrow"/>
          <w:color w:val="222222"/>
          <w:sz w:val="22"/>
          <w:szCs w:val="22"/>
          <w:lang w:val="sk-SK" w:eastAsia="sk-SK"/>
        </w:rPr>
      </w:pPr>
      <w:r w:rsidRPr="00985E3E">
        <w:rPr>
          <w:rFonts w:ascii="Arial Narrow" w:hAnsi="Arial Narrow"/>
          <w:color w:val="222222"/>
          <w:sz w:val="22"/>
          <w:szCs w:val="22"/>
          <w:lang w:val="sk-SK" w:eastAsia="sk-SK"/>
        </w:rPr>
        <w:t xml:space="preserve">V § 66 ods. 2 sa na konci odseku sa pridáva veta „V prípade, že dôjde k prevodu alebo prechodu vlastníctva siete alebo jej časti, vo vzťahu ku ktorej vznikli oprávnenia podľa odseku 1, príslušné oprávnenia podľa odseku 1 prechádzajú na nového vlastníka“. </w:t>
      </w:r>
    </w:p>
    <w:p w:rsidR="00985E3E" w:rsidRPr="00985E3E" w:rsidRDefault="00985E3E" w:rsidP="00985E3E">
      <w:pPr>
        <w:spacing w:after="120"/>
        <w:ind w:firstLine="360"/>
        <w:jc w:val="both"/>
        <w:rPr>
          <w:rFonts w:ascii="Arial Narrow" w:hAnsi="Arial Narrow"/>
          <w:b/>
          <w:color w:val="222222"/>
          <w:sz w:val="22"/>
          <w:szCs w:val="22"/>
          <w:lang w:eastAsia="sk-SK"/>
        </w:rPr>
      </w:pPr>
      <w:r w:rsidRPr="00985E3E">
        <w:rPr>
          <w:rFonts w:ascii="Arial Narrow" w:hAnsi="Arial Narrow"/>
          <w:b/>
          <w:color w:val="222222"/>
          <w:sz w:val="22"/>
          <w:szCs w:val="22"/>
          <w:lang w:eastAsia="sk-SK"/>
        </w:rPr>
        <w:t xml:space="preserve">Odôvodnenie: </w:t>
      </w:r>
    </w:p>
    <w:p w:rsidR="00985E3E" w:rsidRPr="00985E3E" w:rsidRDefault="00985E3E" w:rsidP="00985E3E">
      <w:pPr>
        <w:spacing w:after="120"/>
        <w:ind w:firstLine="360"/>
        <w:jc w:val="both"/>
        <w:rPr>
          <w:rFonts w:ascii="Arial Narrow" w:hAnsi="Arial Narrow"/>
          <w:color w:val="222222"/>
          <w:sz w:val="22"/>
          <w:szCs w:val="22"/>
          <w:lang w:eastAsia="sk-SK"/>
        </w:rPr>
      </w:pPr>
      <w:r w:rsidRPr="00985E3E">
        <w:rPr>
          <w:rFonts w:ascii="Arial Narrow" w:hAnsi="Arial Narrow"/>
          <w:color w:val="222222"/>
          <w:sz w:val="22"/>
          <w:szCs w:val="22"/>
          <w:lang w:eastAsia="sk-SK"/>
        </w:rPr>
        <w:t xml:space="preserve">Zmeny súvisia s posudzovaním verejného záujmu a riešia </w:t>
      </w:r>
      <w:r>
        <w:rPr>
          <w:rFonts w:ascii="Arial Narrow" w:hAnsi="Arial Narrow"/>
          <w:color w:val="222222"/>
          <w:sz w:val="22"/>
          <w:szCs w:val="22"/>
          <w:lang w:eastAsia="sk-SK"/>
        </w:rPr>
        <w:t xml:space="preserve">dlhodobé </w:t>
      </w:r>
      <w:r w:rsidRPr="00985E3E">
        <w:rPr>
          <w:rFonts w:ascii="Arial Narrow" w:hAnsi="Arial Narrow"/>
          <w:color w:val="222222"/>
          <w:sz w:val="22"/>
          <w:szCs w:val="22"/>
          <w:lang w:eastAsia="sk-SK"/>
        </w:rPr>
        <w:t xml:space="preserve">aplikačné problémy praxe. </w:t>
      </w: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BB" w:rsidRDefault="008107BB">
      <w:r>
        <w:separator/>
      </w:r>
    </w:p>
  </w:endnote>
  <w:endnote w:type="continuationSeparator" w:id="0">
    <w:p w:rsidR="008107BB" w:rsidRDefault="0081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BB" w:rsidRDefault="008107BB">
      <w:r>
        <w:separator/>
      </w:r>
    </w:p>
  </w:footnote>
  <w:footnote w:type="continuationSeparator" w:id="0">
    <w:p w:rsidR="008107BB" w:rsidRDefault="00810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4235060"/>
    <w:multiLevelType w:val="hybridMultilevel"/>
    <w:tmpl w:val="7AACBB14"/>
    <w:lvl w:ilvl="0" w:tplc="6D1C674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064E31"/>
    <w:multiLevelType w:val="hybridMultilevel"/>
    <w:tmpl w:val="CED420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10">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B72738"/>
    <w:multiLevelType w:val="hybridMultilevel"/>
    <w:tmpl w:val="1DD842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6">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8">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20">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3">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0"/>
  </w:num>
  <w:num w:numId="3">
    <w:abstractNumId w:val="18"/>
  </w:num>
  <w:num w:numId="4">
    <w:abstractNumId w:val="15"/>
  </w:num>
  <w:num w:numId="5">
    <w:abstractNumId w:val="25"/>
  </w:num>
  <w:num w:numId="6">
    <w:abstractNumId w:val="17"/>
  </w:num>
  <w:num w:numId="7">
    <w:abstractNumId w:val="13"/>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10"/>
  </w:num>
  <w:num w:numId="12">
    <w:abstractNumId w:val="27"/>
  </w:num>
  <w:num w:numId="13">
    <w:abstractNumId w:val="5"/>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
  </w:num>
  <w:num w:numId="18">
    <w:abstractNumId w:val="21"/>
  </w:num>
  <w:num w:numId="19">
    <w:abstractNumId w:val="6"/>
  </w:num>
  <w:num w:numId="20">
    <w:abstractNumId w:val="14"/>
  </w:num>
  <w:num w:numId="21">
    <w:abstractNumId w:val="16"/>
  </w:num>
  <w:num w:numId="22">
    <w:abstractNumId w:val="2"/>
  </w:num>
  <w:num w:numId="23">
    <w:abstractNumId w:val="20"/>
  </w:num>
  <w:num w:numId="24">
    <w:abstractNumId w:val="7"/>
  </w:num>
  <w:num w:numId="25">
    <w:abstractNumId w:val="28"/>
  </w:num>
  <w:num w:numId="26">
    <w:abstractNumId w:val="2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1B55"/>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1A91"/>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3EB5"/>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2C85"/>
    <w:rsid w:val="002A725B"/>
    <w:rsid w:val="002B3187"/>
    <w:rsid w:val="002B36C5"/>
    <w:rsid w:val="002B38E1"/>
    <w:rsid w:val="002B481D"/>
    <w:rsid w:val="002B5B36"/>
    <w:rsid w:val="002B6197"/>
    <w:rsid w:val="002B6CC7"/>
    <w:rsid w:val="002B798A"/>
    <w:rsid w:val="002C18C4"/>
    <w:rsid w:val="002C1A75"/>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0D73"/>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015"/>
    <w:rsid w:val="0057124B"/>
    <w:rsid w:val="00574EBF"/>
    <w:rsid w:val="00577B5B"/>
    <w:rsid w:val="0058404D"/>
    <w:rsid w:val="00584B3B"/>
    <w:rsid w:val="00585076"/>
    <w:rsid w:val="00585258"/>
    <w:rsid w:val="00597FB2"/>
    <w:rsid w:val="005A0E86"/>
    <w:rsid w:val="005A1F4A"/>
    <w:rsid w:val="005A2652"/>
    <w:rsid w:val="005A265C"/>
    <w:rsid w:val="005A4988"/>
    <w:rsid w:val="005A50C0"/>
    <w:rsid w:val="005A5CDC"/>
    <w:rsid w:val="005A653F"/>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5F7920"/>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1831"/>
    <w:rsid w:val="007F5767"/>
    <w:rsid w:val="00803695"/>
    <w:rsid w:val="00804258"/>
    <w:rsid w:val="00806E40"/>
    <w:rsid w:val="008107BB"/>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47693"/>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233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5E3E"/>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07DC"/>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12B"/>
    <w:rsid w:val="00B855E9"/>
    <w:rsid w:val="00B90035"/>
    <w:rsid w:val="00B9246E"/>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B7BC3"/>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78B"/>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620A"/>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2" w:uiPriority="99"/>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2">
    <w:name w:val="Zástupný text2"/>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0">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paragraph" w:customStyle="1" w:styleId="m-6442188705963318772msolistparagraph">
    <w:name w:val="m_-6442188705963318772msolistparagraph"/>
    <w:basedOn w:val="Normlny"/>
    <w:rsid w:val="005F7920"/>
    <w:pPr>
      <w:spacing w:before="100" w:beforeAutospacing="1" w:after="100" w:afterAutospacing="1"/>
    </w:pPr>
    <w:rPr>
      <w:lang w:eastAsia="sk-SK"/>
    </w:rPr>
  </w:style>
  <w:style w:type="paragraph" w:customStyle="1" w:styleId="m-6442188705963318772msocommenttext">
    <w:name w:val="m_-6442188705963318772msocommenttext"/>
    <w:basedOn w:val="Normlny"/>
    <w:rsid w:val="005F7920"/>
    <w:pPr>
      <w:spacing w:before="100" w:beforeAutospacing="1" w:after="100" w:afterAutospacing="1"/>
    </w:pPr>
    <w:rPr>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2" w:uiPriority="99"/>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2">
    <w:name w:val="Zástupný text2"/>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0">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paragraph" w:customStyle="1" w:styleId="m-6442188705963318772msolistparagraph">
    <w:name w:val="m_-6442188705963318772msolistparagraph"/>
    <w:basedOn w:val="Normlny"/>
    <w:rsid w:val="005F7920"/>
    <w:pPr>
      <w:spacing w:before="100" w:beforeAutospacing="1" w:after="100" w:afterAutospacing="1"/>
    </w:pPr>
    <w:rPr>
      <w:lang w:eastAsia="sk-SK"/>
    </w:rPr>
  </w:style>
  <w:style w:type="paragraph" w:customStyle="1" w:styleId="m-6442188705963318772msocommenttext">
    <w:name w:val="m_-6442188705963318772msocommenttext"/>
    <w:basedOn w:val="Normlny"/>
    <w:rsid w:val="005F7920"/>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544173601">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781346144">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081977878">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406C-5582-4922-9BA8-E7464FC2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793</Words>
  <Characters>4526</Characters>
  <Application>Microsoft Office Word</Application>
  <DocSecurity>0</DocSecurity>
  <Lines>37</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5309</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10</cp:revision>
  <dcterms:created xsi:type="dcterms:W3CDTF">2017-08-09T14:05:00Z</dcterms:created>
  <dcterms:modified xsi:type="dcterms:W3CDTF">2017-08-10T10:28:00Z</dcterms:modified>
</cp:coreProperties>
</file>