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9C" w:rsidRPr="00097AA5" w:rsidRDefault="00074C9C" w:rsidP="0007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Dôvodová správa </w:t>
      </w:r>
    </w:p>
    <w:p w:rsidR="00074C9C" w:rsidRPr="00097AA5" w:rsidRDefault="00074C9C" w:rsidP="0007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AA5" w:rsidRPr="00097AA5" w:rsidRDefault="00074C9C" w:rsidP="00F6039F">
      <w:pPr>
        <w:pStyle w:val="Nadpis3"/>
        <w:rPr>
          <w:sz w:val="24"/>
          <w:szCs w:val="24"/>
        </w:rPr>
      </w:pPr>
      <w:r w:rsidRPr="00097AA5">
        <w:rPr>
          <w:sz w:val="24"/>
          <w:szCs w:val="24"/>
        </w:rPr>
        <w:t>Osobitná časť</w:t>
      </w:r>
    </w:p>
    <w:p w:rsidR="00F6039F" w:rsidRPr="00097AA5" w:rsidRDefault="00F6039F" w:rsidP="00F6039F">
      <w:pPr>
        <w:pStyle w:val="Nadpis3"/>
        <w:rPr>
          <w:sz w:val="24"/>
          <w:szCs w:val="24"/>
        </w:rPr>
      </w:pPr>
      <w:r w:rsidRPr="00097AA5">
        <w:rPr>
          <w:sz w:val="24"/>
          <w:szCs w:val="24"/>
        </w:rPr>
        <w:t>K</w:t>
      </w:r>
      <w:r w:rsidR="00647CBA" w:rsidRPr="00097AA5">
        <w:rPr>
          <w:sz w:val="24"/>
          <w:szCs w:val="24"/>
        </w:rPr>
        <w:t> Čl.</w:t>
      </w:r>
      <w:r w:rsidRPr="00097AA5">
        <w:rPr>
          <w:sz w:val="24"/>
          <w:szCs w:val="24"/>
        </w:rPr>
        <w:t xml:space="preserve"> I </w:t>
      </w:r>
    </w:p>
    <w:p w:rsidR="00F6039F" w:rsidRPr="00097AA5" w:rsidRDefault="00F6039F" w:rsidP="00F6039F">
      <w:pPr>
        <w:pStyle w:val="Nadpis3"/>
        <w:rPr>
          <w:sz w:val="24"/>
          <w:szCs w:val="24"/>
        </w:rPr>
      </w:pPr>
      <w:r w:rsidRPr="00097AA5">
        <w:rPr>
          <w:sz w:val="24"/>
          <w:szCs w:val="24"/>
        </w:rPr>
        <w:t>K bodu 1</w:t>
      </w:r>
    </w:p>
    <w:p w:rsidR="008834F0" w:rsidRPr="008834F0" w:rsidRDefault="008834F0" w:rsidP="008834F0">
      <w:pPr>
        <w:numPr>
          <w:ilvl w:val="1"/>
          <w:numId w:val="0"/>
        </w:numPr>
        <w:tabs>
          <w:tab w:val="num" w:pos="360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CA5F0A">
        <w:rPr>
          <w:rFonts w:ascii="Times New Roman" w:hAnsi="Times New Roman" w:cs="Times New Roman"/>
          <w:sz w:val="24"/>
          <w:szCs w:val="24"/>
        </w:rPr>
        <w:t xml:space="preserve">Legislatívno-technická úprava v § 1. </w:t>
      </w:r>
      <w:r w:rsidR="00551369" w:rsidRPr="00CA5F0A">
        <w:rPr>
          <w:rFonts w:ascii="Times New Roman" w:hAnsi="Times New Roman" w:cs="Times New Roman"/>
          <w:sz w:val="24"/>
          <w:szCs w:val="24"/>
        </w:rPr>
        <w:t>Zároveň v</w:t>
      </w:r>
      <w:r w:rsidRPr="00CA5F0A">
        <w:rPr>
          <w:rFonts w:ascii="Times New Roman" w:hAnsi="Times New Roman" w:cs="Times New Roman"/>
          <w:sz w:val="24"/>
          <w:szCs w:val="24"/>
        </w:rPr>
        <w:t xml:space="preserve">zhľadom na nejednoznačnosť vyplývajúcu z aplikačnej praxe dochádza k doplneniu </w:t>
      </w:r>
      <w:r w:rsidRPr="00CA5F0A">
        <w:rPr>
          <w:rFonts w:ascii="Times New Roman" w:hAnsi="Times New Roman" w:cs="Times New Roman"/>
          <w:bCs/>
          <w:sz w:val="24"/>
          <w:szCs w:val="24"/>
        </w:rPr>
        <w:t>a spresneniu</w:t>
      </w:r>
      <w:r w:rsidRPr="00CA5F0A">
        <w:rPr>
          <w:rFonts w:ascii="Times New Roman" w:hAnsi="Times New Roman" w:cs="Times New Roman"/>
          <w:sz w:val="24"/>
          <w:szCs w:val="24"/>
        </w:rPr>
        <w:t xml:space="preserve"> definície, čo sa považuje za pozemok slúžiaci na poľnohospodárske účely (ďalej aj len „pozemok“). </w:t>
      </w:r>
      <w:r w:rsidR="00551369" w:rsidRPr="00CA5F0A">
        <w:rPr>
          <w:rFonts w:ascii="Times New Roman" w:hAnsi="Times New Roman" w:cs="Times New Roman"/>
          <w:sz w:val="24"/>
          <w:szCs w:val="24"/>
        </w:rPr>
        <w:t>Určuje sa, akým spôsobom sa stanoví obvyklá výšk</w:t>
      </w:r>
      <w:r w:rsidR="002826B8">
        <w:rPr>
          <w:rFonts w:ascii="Times New Roman" w:hAnsi="Times New Roman" w:cs="Times New Roman"/>
          <w:sz w:val="24"/>
          <w:szCs w:val="24"/>
        </w:rPr>
        <w:t>a</w:t>
      </w:r>
      <w:r w:rsidR="00551369" w:rsidRPr="00CA5F0A">
        <w:rPr>
          <w:rFonts w:ascii="Times New Roman" w:hAnsi="Times New Roman" w:cs="Times New Roman"/>
          <w:sz w:val="24"/>
          <w:szCs w:val="24"/>
        </w:rPr>
        <w:t xml:space="preserve"> nájomného </w:t>
      </w:r>
      <w:r w:rsidR="002826B8">
        <w:rPr>
          <w:rFonts w:ascii="Times New Roman" w:hAnsi="Times New Roman" w:cs="Times New Roman"/>
          <w:sz w:val="24"/>
          <w:szCs w:val="24"/>
        </w:rPr>
        <w:t>za užívanie poľnohospodárskej pôdy pri prevádzkovaní podniku.</w:t>
      </w:r>
    </w:p>
    <w:p w:rsidR="00CA5F0A" w:rsidRDefault="00CA5F0A" w:rsidP="00074C9C">
      <w:pPr>
        <w:pStyle w:val="Nadpis3"/>
        <w:rPr>
          <w:sz w:val="24"/>
          <w:szCs w:val="24"/>
        </w:rPr>
      </w:pPr>
      <w:r w:rsidRPr="00097AA5">
        <w:rPr>
          <w:sz w:val="24"/>
          <w:szCs w:val="24"/>
        </w:rPr>
        <w:t>K bodu 2</w:t>
      </w:r>
    </w:p>
    <w:p w:rsidR="00CA5F0A" w:rsidRPr="00CA5F0A" w:rsidRDefault="00CA5F0A" w:rsidP="00074C9C">
      <w:pPr>
        <w:pStyle w:val="Nadpis3"/>
        <w:rPr>
          <w:sz w:val="24"/>
          <w:szCs w:val="24"/>
        </w:rPr>
      </w:pPr>
      <w:r>
        <w:rPr>
          <w:b w:val="0"/>
          <w:sz w:val="24"/>
          <w:szCs w:val="24"/>
        </w:rPr>
        <w:t>Legislatívno-technická úprava.</w:t>
      </w:r>
    </w:p>
    <w:p w:rsidR="00097AA5" w:rsidRDefault="00097AA5" w:rsidP="00097AA5">
      <w:pPr>
        <w:numPr>
          <w:ilvl w:val="1"/>
          <w:numId w:val="0"/>
        </w:numPr>
        <w:tabs>
          <w:tab w:val="num" w:pos="36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A" w:rsidRPr="00097AA5" w:rsidRDefault="00074C9C" w:rsidP="00097AA5">
      <w:pPr>
        <w:numPr>
          <w:ilvl w:val="1"/>
          <w:numId w:val="0"/>
        </w:numPr>
        <w:tabs>
          <w:tab w:val="num" w:pos="36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AA5">
        <w:rPr>
          <w:rFonts w:ascii="Times New Roman" w:eastAsia="Calibri" w:hAnsi="Times New Roman" w:cs="Times New Roman"/>
          <w:b/>
          <w:sz w:val="24"/>
          <w:szCs w:val="24"/>
        </w:rPr>
        <w:t>K bodu 3</w:t>
      </w:r>
    </w:p>
    <w:p w:rsidR="00CA5F0A" w:rsidRPr="00CA5F0A" w:rsidRDefault="00CA5F0A" w:rsidP="00CA5F0A">
      <w:pPr>
        <w:pStyle w:val="Nadpis3"/>
        <w:rPr>
          <w:sz w:val="24"/>
          <w:szCs w:val="24"/>
        </w:rPr>
      </w:pPr>
      <w:r>
        <w:rPr>
          <w:b w:val="0"/>
          <w:sz w:val="24"/>
          <w:szCs w:val="24"/>
        </w:rPr>
        <w:t>Legislatívno-technická úprava vzhľadom na spresnenie definície, čo sa považuj</w:t>
      </w:r>
      <w:r w:rsidR="00F55B1F">
        <w:rPr>
          <w:b w:val="0"/>
          <w:sz w:val="24"/>
          <w:szCs w:val="24"/>
        </w:rPr>
        <w:t>e za pozemok podľa toho zákona.</w:t>
      </w:r>
    </w:p>
    <w:p w:rsidR="00074C9C" w:rsidRPr="00097AA5" w:rsidRDefault="00074C9C" w:rsidP="00074C9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C9C" w:rsidRPr="00097AA5" w:rsidRDefault="00CA5F0A" w:rsidP="00074C9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 bod</w:t>
      </w:r>
      <w:r w:rsidR="002826B8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</w:p>
    <w:p w:rsidR="00B14108" w:rsidRDefault="00074C9C" w:rsidP="001822A0">
      <w:pPr>
        <w:pStyle w:val="Textkomentra"/>
        <w:rPr>
          <w:rFonts w:ascii="Times New Roman" w:eastAsia="Calibri" w:hAnsi="Times New Roman"/>
          <w:sz w:val="24"/>
          <w:szCs w:val="24"/>
        </w:rPr>
      </w:pPr>
      <w:r w:rsidRPr="00097AA5">
        <w:rPr>
          <w:rFonts w:ascii="Times New Roman" w:eastAsia="Calibri" w:hAnsi="Times New Roman"/>
          <w:sz w:val="24"/>
          <w:szCs w:val="24"/>
        </w:rPr>
        <w:t>V súvislosti s  doplnením definície</w:t>
      </w:r>
      <w:r w:rsidR="009949B1">
        <w:rPr>
          <w:rFonts w:ascii="Times New Roman" w:eastAsia="Calibri" w:hAnsi="Times New Roman"/>
          <w:sz w:val="24"/>
          <w:szCs w:val="24"/>
        </w:rPr>
        <w:t xml:space="preserve"> pozemku sa spresňuje </w:t>
      </w:r>
      <w:r w:rsidR="00CA5F0A">
        <w:rPr>
          <w:rFonts w:ascii="Times New Roman" w:eastAsia="Calibri" w:hAnsi="Times New Roman"/>
          <w:sz w:val="24"/>
          <w:szCs w:val="24"/>
        </w:rPr>
        <w:t>určenie výšky nájomného p</w:t>
      </w:r>
      <w:r w:rsidR="009949B1">
        <w:rPr>
          <w:rFonts w:ascii="Times New Roman" w:eastAsia="Calibri" w:hAnsi="Times New Roman"/>
          <w:sz w:val="24"/>
          <w:szCs w:val="24"/>
        </w:rPr>
        <w:t xml:space="preserve">ri </w:t>
      </w:r>
      <w:r w:rsidR="00B14108">
        <w:rPr>
          <w:rFonts w:ascii="Times New Roman" w:hAnsi="Times New Roman"/>
          <w:sz w:val="24"/>
          <w:szCs w:val="24"/>
        </w:rPr>
        <w:t>pozem</w:t>
      </w:r>
      <w:r w:rsidR="009949B1" w:rsidRPr="00097AA5">
        <w:rPr>
          <w:rFonts w:ascii="Times New Roman" w:hAnsi="Times New Roman"/>
          <w:sz w:val="24"/>
          <w:szCs w:val="24"/>
        </w:rPr>
        <w:t>k</w:t>
      </w:r>
      <w:r w:rsidR="00B14108">
        <w:rPr>
          <w:rFonts w:ascii="Times New Roman" w:hAnsi="Times New Roman"/>
          <w:sz w:val="24"/>
          <w:szCs w:val="24"/>
        </w:rPr>
        <w:t>u</w:t>
      </w:r>
      <w:r w:rsidR="009949B1" w:rsidRPr="00097AA5">
        <w:rPr>
          <w:rFonts w:ascii="Times New Roman" w:hAnsi="Times New Roman"/>
          <w:sz w:val="24"/>
          <w:szCs w:val="24"/>
        </w:rPr>
        <w:t xml:space="preserve">, ktorý je </w:t>
      </w:r>
      <w:r w:rsidR="002826B8" w:rsidRPr="002826B8">
        <w:rPr>
          <w:rFonts w:ascii="Times New Roman" w:hAnsi="Times New Roman"/>
          <w:sz w:val="24"/>
          <w:szCs w:val="24"/>
        </w:rPr>
        <w:t>evidovaný v katastri nehnuteľností v registri „C“ ako zastavaná plocha a  nádvorie, slúžiaci na poľnohospodárske účely alebo časť tohto pozemku alebo pozemok zastavaný stavbou slúžiacou na poľnohospodárske účely alebo časť tohto pozemku</w:t>
      </w:r>
      <w:r w:rsidR="00CA5F0A">
        <w:rPr>
          <w:rFonts w:ascii="Times New Roman" w:hAnsi="Times New Roman"/>
          <w:sz w:val="24"/>
          <w:szCs w:val="24"/>
        </w:rPr>
        <w:t xml:space="preserve">. </w:t>
      </w:r>
      <w:r w:rsidR="00B14108">
        <w:rPr>
          <w:rFonts w:ascii="Times New Roman" w:eastAsia="Calibri" w:hAnsi="Times New Roman"/>
          <w:sz w:val="24"/>
          <w:szCs w:val="24"/>
        </w:rPr>
        <w:t xml:space="preserve">Touto úpravou sa zákonodarca snaží reagovať na </w:t>
      </w:r>
      <w:r w:rsidR="00985B12">
        <w:rPr>
          <w:rFonts w:ascii="Times New Roman" w:eastAsia="Calibri" w:hAnsi="Times New Roman"/>
          <w:sz w:val="24"/>
          <w:szCs w:val="24"/>
        </w:rPr>
        <w:t>absenciu mechanizmov výpočtu nájomného za pozemky, ktoré nie sú v katastri nehnuteľností evidované ako poľnohospodárska pôda, resp. ostatná plocha, a zároveň odpovedať na časté otázky aplikačnej praxe ohľadom rozdielnosti povahy majetkového substrátu pozemkov definovaných v § 1 ods. 2 písm. a) a c) v porovnaní s pozemkami definovanými v § 1 ods. 2 písm. b).</w:t>
      </w:r>
    </w:p>
    <w:p w:rsidR="00647CBA" w:rsidRDefault="00CA5F0A" w:rsidP="00647CB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bodu 5</w:t>
      </w:r>
    </w:p>
    <w:p w:rsidR="002848B8" w:rsidRPr="000E3041" w:rsidRDefault="00CA5F0A" w:rsidP="00647CB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41">
        <w:rPr>
          <w:rFonts w:ascii="Times New Roman" w:hAnsi="Times New Roman" w:cs="Times New Roman"/>
          <w:sz w:val="24"/>
          <w:szCs w:val="24"/>
        </w:rPr>
        <w:t xml:space="preserve">Legislatívno-technická úprava.  </w:t>
      </w:r>
    </w:p>
    <w:p w:rsidR="002848B8" w:rsidRDefault="008914D8" w:rsidP="00647CB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bodu 6</w:t>
      </w:r>
    </w:p>
    <w:p w:rsidR="00985B12" w:rsidRDefault="002848B8" w:rsidP="003E36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Novela zákona reaguje na potreby </w:t>
      </w:r>
      <w:r w:rsidR="00985B12">
        <w:rPr>
          <w:rFonts w:ascii="Times New Roman" w:hAnsi="Times New Roman"/>
          <w:sz w:val="24"/>
          <w:szCs w:val="24"/>
        </w:rPr>
        <w:t xml:space="preserve">aplikačnej </w:t>
      </w:r>
      <w:r>
        <w:rPr>
          <w:rFonts w:ascii="Times New Roman" w:hAnsi="Times New Roman"/>
          <w:sz w:val="24"/>
          <w:szCs w:val="24"/>
        </w:rPr>
        <w:t>praxe a vypúšťa doterajšiu úpravu automatickej obnovy nájomného vzťahu</w:t>
      </w:r>
      <w:r w:rsidR="00CE5B34">
        <w:rPr>
          <w:rFonts w:ascii="Times New Roman" w:hAnsi="Times New Roman"/>
          <w:sz w:val="24"/>
          <w:szCs w:val="24"/>
        </w:rPr>
        <w:t xml:space="preserve"> v prípade, ak rok pred uplynutím času, na ktorý bol nájom dohodnutý, prenajímateľ nevyzval nájomcu na vrátenie pozemkov, resp. nájomca nevyzval prenajímateľa na prevzatie pozemkov. Takáto právna úprava často viedla k sporom a</w:t>
      </w:r>
      <w:r w:rsidR="00B1736B">
        <w:rPr>
          <w:rFonts w:ascii="Times New Roman" w:hAnsi="Times New Roman"/>
          <w:sz w:val="24"/>
          <w:szCs w:val="24"/>
        </w:rPr>
        <w:t xml:space="preserve"> k </w:t>
      </w:r>
      <w:r w:rsidR="00CE5B34">
        <w:rPr>
          <w:rFonts w:ascii="Times New Roman" w:hAnsi="Times New Roman"/>
          <w:sz w:val="24"/>
          <w:szCs w:val="24"/>
        </w:rPr>
        <w:t>neprehľadnosti v dojednaniach týkajúcich sa užívania pozemkov.</w:t>
      </w:r>
      <w:r w:rsidR="009E4E45">
        <w:rPr>
          <w:rFonts w:ascii="Times New Roman" w:hAnsi="Times New Roman"/>
          <w:sz w:val="24"/>
          <w:szCs w:val="24"/>
        </w:rPr>
        <w:t xml:space="preserve"> Akreditovaný orgán štátnej správy zabezpečujúci administratívnu činnosť pri poskytovan</w:t>
      </w:r>
      <w:r w:rsidR="00A5668B">
        <w:rPr>
          <w:rFonts w:ascii="Times New Roman" w:hAnsi="Times New Roman"/>
          <w:sz w:val="24"/>
          <w:szCs w:val="24"/>
        </w:rPr>
        <w:t>í</w:t>
      </w:r>
      <w:r w:rsidR="009E4E45">
        <w:rPr>
          <w:rFonts w:ascii="Times New Roman" w:hAnsi="Times New Roman"/>
          <w:sz w:val="24"/>
          <w:szCs w:val="24"/>
        </w:rPr>
        <w:t xml:space="preserve"> podpory v poľnohospodárstve detekoval automatickú obnovu nájomného vzťahu </w:t>
      </w:r>
      <w:r w:rsidR="00B1736B">
        <w:rPr>
          <w:rFonts w:ascii="Times New Roman" w:hAnsi="Times New Roman"/>
          <w:sz w:val="24"/>
          <w:szCs w:val="24"/>
        </w:rPr>
        <w:t>ako</w:t>
      </w:r>
      <w:r w:rsidR="009E4E45">
        <w:rPr>
          <w:rFonts w:ascii="Times New Roman" w:hAnsi="Times New Roman"/>
          <w:sz w:val="24"/>
          <w:szCs w:val="24"/>
        </w:rPr>
        <w:t xml:space="preserve"> častú príčinu </w:t>
      </w:r>
      <w:r w:rsidR="00B1736B">
        <w:rPr>
          <w:rFonts w:ascii="Times New Roman" w:hAnsi="Times New Roman"/>
          <w:sz w:val="24"/>
          <w:szCs w:val="24"/>
        </w:rPr>
        <w:t xml:space="preserve">tzv. </w:t>
      </w:r>
      <w:r w:rsidR="009E4E45">
        <w:rPr>
          <w:rFonts w:ascii="Times New Roman" w:hAnsi="Times New Roman"/>
          <w:sz w:val="24"/>
          <w:szCs w:val="24"/>
        </w:rPr>
        <w:t xml:space="preserve">dvojitých deklarácií. Takéto </w:t>
      </w:r>
      <w:r w:rsidR="00B1736B">
        <w:rPr>
          <w:rFonts w:ascii="Times New Roman" w:hAnsi="Times New Roman"/>
          <w:sz w:val="24"/>
          <w:szCs w:val="24"/>
        </w:rPr>
        <w:t xml:space="preserve">jeho </w:t>
      </w:r>
      <w:r w:rsidR="009E4E45">
        <w:rPr>
          <w:rFonts w:ascii="Times New Roman" w:hAnsi="Times New Roman"/>
          <w:sz w:val="24"/>
          <w:szCs w:val="24"/>
        </w:rPr>
        <w:t xml:space="preserve">zistenia následne </w:t>
      </w:r>
      <w:r w:rsidR="00A5668B">
        <w:rPr>
          <w:rFonts w:ascii="Times New Roman" w:hAnsi="Times New Roman"/>
          <w:sz w:val="24"/>
          <w:szCs w:val="24"/>
        </w:rPr>
        <w:t xml:space="preserve">môžu </w:t>
      </w:r>
      <w:r w:rsidR="009E4E45">
        <w:rPr>
          <w:rFonts w:ascii="Times New Roman" w:hAnsi="Times New Roman"/>
          <w:sz w:val="24"/>
          <w:szCs w:val="24"/>
        </w:rPr>
        <w:t>brzdi</w:t>
      </w:r>
      <w:r w:rsidR="00A5668B">
        <w:rPr>
          <w:rFonts w:ascii="Times New Roman" w:hAnsi="Times New Roman"/>
          <w:sz w:val="24"/>
          <w:szCs w:val="24"/>
        </w:rPr>
        <w:t>ť</w:t>
      </w:r>
      <w:r w:rsidR="009E4E45">
        <w:rPr>
          <w:rFonts w:ascii="Times New Roman" w:hAnsi="Times New Roman"/>
          <w:sz w:val="24"/>
          <w:szCs w:val="24"/>
        </w:rPr>
        <w:t xml:space="preserve"> výplatu priamych platieb aj tým subjektom, ktoré – s ohľadom </w:t>
      </w:r>
      <w:r w:rsidR="00A5668B">
        <w:rPr>
          <w:rFonts w:ascii="Times New Roman" w:hAnsi="Times New Roman"/>
          <w:sz w:val="24"/>
          <w:szCs w:val="24"/>
        </w:rPr>
        <w:t>na systém priamych platieb viazaných na pôdne</w:t>
      </w:r>
      <w:r w:rsidR="009E4E45">
        <w:rPr>
          <w:rFonts w:ascii="Times New Roman" w:hAnsi="Times New Roman"/>
          <w:sz w:val="24"/>
          <w:szCs w:val="24"/>
        </w:rPr>
        <w:t xml:space="preserve"> blok</w:t>
      </w:r>
      <w:r w:rsidR="00A5668B">
        <w:rPr>
          <w:rFonts w:ascii="Times New Roman" w:hAnsi="Times New Roman"/>
          <w:sz w:val="24"/>
          <w:szCs w:val="24"/>
        </w:rPr>
        <w:t xml:space="preserve">y–dvojitú deklaráciu </w:t>
      </w:r>
      <w:r w:rsidR="00A5668B">
        <w:rPr>
          <w:rFonts w:ascii="Times New Roman" w:hAnsi="Times New Roman"/>
          <w:sz w:val="24"/>
          <w:szCs w:val="24"/>
        </w:rPr>
        <w:lastRenderedPageBreak/>
        <w:t xml:space="preserve">nespôsobili. Navyše, ako vyplýva z doterajších zistení tohto orgánu, následné riešenia v záujme odstránenia vzniknutých nejasností (s ohľadom na povinnosť výkonu kontrolnej činnosti presne určenými subjektmi) si vyžadujú finančné náklady v rozsahu cca 450 </w:t>
      </w:r>
      <w:r w:rsidR="00A5668B">
        <w:rPr>
          <w:rFonts w:ascii="Times New Roman" w:hAnsi="Times New Roman" w:cs="Times New Roman"/>
          <w:sz w:val="24"/>
          <w:szCs w:val="24"/>
        </w:rPr>
        <w:t>€</w:t>
      </w:r>
      <w:r w:rsidR="00A5668B">
        <w:rPr>
          <w:rFonts w:ascii="Times New Roman" w:hAnsi="Times New Roman"/>
          <w:sz w:val="24"/>
          <w:szCs w:val="24"/>
        </w:rPr>
        <w:t xml:space="preserve"> – 500 </w:t>
      </w:r>
      <w:r w:rsidR="00A5668B">
        <w:rPr>
          <w:rFonts w:ascii="Times New Roman" w:hAnsi="Times New Roman" w:cs="Times New Roman"/>
          <w:sz w:val="24"/>
          <w:szCs w:val="24"/>
        </w:rPr>
        <w:t>€</w:t>
      </w:r>
      <w:r w:rsidR="00A5668B">
        <w:rPr>
          <w:rFonts w:ascii="Times New Roman" w:hAnsi="Times New Roman"/>
          <w:sz w:val="24"/>
          <w:szCs w:val="24"/>
        </w:rPr>
        <w:t xml:space="preserve"> denne.</w:t>
      </w:r>
    </w:p>
    <w:p w:rsidR="00CE5B34" w:rsidRDefault="00A5668B" w:rsidP="003E36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Zrušením automatickej obnovy nájomného vzťahu z dôvodu uvedeného v doterajšom § 12 ods. 1 má predkladateľ ambíciu posilniť </w:t>
      </w:r>
      <w:r w:rsidR="005355DA">
        <w:rPr>
          <w:rFonts w:ascii="Times New Roman" w:hAnsi="Times New Roman"/>
          <w:sz w:val="24"/>
          <w:szCs w:val="24"/>
        </w:rPr>
        <w:t xml:space="preserve">jednak práva vlastníka pozemku a jednak </w:t>
      </w:r>
      <w:r>
        <w:rPr>
          <w:rFonts w:ascii="Times New Roman" w:hAnsi="Times New Roman"/>
          <w:sz w:val="24"/>
          <w:szCs w:val="24"/>
        </w:rPr>
        <w:t>stabilitu podnikateľského prostredia pre tie subjekty</w:t>
      </w:r>
      <w:r w:rsidR="005355DA">
        <w:rPr>
          <w:rFonts w:ascii="Times New Roman" w:hAnsi="Times New Roman"/>
          <w:sz w:val="24"/>
          <w:szCs w:val="24"/>
        </w:rPr>
        <w:t>, ktoré pôd</w:t>
      </w:r>
      <w:r w:rsidR="00340F03">
        <w:rPr>
          <w:rFonts w:ascii="Times New Roman" w:hAnsi="Times New Roman"/>
          <w:sz w:val="24"/>
          <w:szCs w:val="24"/>
        </w:rPr>
        <w:t>u</w:t>
      </w:r>
      <w:r w:rsidR="005355DA">
        <w:rPr>
          <w:rFonts w:ascii="Times New Roman" w:hAnsi="Times New Roman"/>
          <w:sz w:val="24"/>
          <w:szCs w:val="24"/>
        </w:rPr>
        <w:t xml:space="preserve"> skutočne </w:t>
      </w:r>
      <w:r w:rsidR="00340F03">
        <w:rPr>
          <w:rFonts w:ascii="Times New Roman" w:hAnsi="Times New Roman"/>
          <w:sz w:val="24"/>
          <w:szCs w:val="24"/>
        </w:rPr>
        <w:t>obhospodarujú</w:t>
      </w:r>
      <w:r w:rsidR="005355DA">
        <w:rPr>
          <w:rFonts w:ascii="Times New Roman" w:hAnsi="Times New Roman"/>
          <w:sz w:val="24"/>
          <w:szCs w:val="24"/>
        </w:rPr>
        <w:t xml:space="preserve">, so súčasným vytvorením podmienok na prístup k pôde </w:t>
      </w:r>
      <w:r w:rsidR="00340F03">
        <w:rPr>
          <w:rFonts w:ascii="Times New Roman" w:hAnsi="Times New Roman"/>
          <w:sz w:val="24"/>
          <w:szCs w:val="24"/>
        </w:rPr>
        <w:t>ďalším podnikateľským subjektom.</w:t>
      </w:r>
    </w:p>
    <w:p w:rsidR="00676FE4" w:rsidRDefault="00676FE4" w:rsidP="003E36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C9C" w:rsidRPr="00097AA5" w:rsidRDefault="002848B8" w:rsidP="00074C9C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bod</w:t>
      </w:r>
      <w:r w:rsidR="0052492A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0E3041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A966A4" w:rsidRDefault="004302E2" w:rsidP="002848B8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Novela spresňuje doterajšiu úpravu týkajúcu sa pozemku, ktorý je užívaný bez nájomnej zmluvy. </w:t>
      </w:r>
    </w:p>
    <w:p w:rsidR="00A966A4" w:rsidRDefault="004302E2" w:rsidP="002848B8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 účely usporiadania vzájomných vzťahov medzi vlastníkom 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 xml:space="preserve">takéhoto </w:t>
      </w:r>
      <w:r>
        <w:rPr>
          <w:rFonts w:ascii="Times New Roman" w:eastAsia="Times New Roman" w:hAnsi="Times New Roman" w:cs="Times New Roman"/>
          <w:sz w:val="24"/>
          <w:szCs w:val="24"/>
        </w:rPr>
        <w:t>pozemku a jeho užívateľom bude v</w:t>
      </w:r>
      <w:r w:rsidR="002848B8" w:rsidRPr="00097AA5">
        <w:rPr>
          <w:rFonts w:ascii="Times New Roman" w:eastAsia="Times New Roman" w:hAnsi="Times New Roman" w:cs="Times New Roman"/>
          <w:sz w:val="24"/>
          <w:szCs w:val="24"/>
        </w:rPr>
        <w:t xml:space="preserve"> prípade podielového spoluvlastníctva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pozemku 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>na uzatvorenie nájomnej zmluvy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>resp. na výzvu v súvislosti s vrátením a prevzatím pozemku</w:t>
      </w:r>
      <w:r w:rsidR="009E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8B8" w:rsidRPr="00097AA5">
        <w:rPr>
          <w:rFonts w:ascii="Times New Roman" w:eastAsia="Times New Roman" w:hAnsi="Times New Roman" w:cs="Times New Roman"/>
          <w:sz w:val="24"/>
          <w:szCs w:val="24"/>
        </w:rPr>
        <w:t>postačovať</w:t>
      </w:r>
      <w:r w:rsidR="002848B8" w:rsidRPr="00683888">
        <w:rPr>
          <w:rFonts w:ascii="Times New Roman" w:eastAsia="Times New Roman" w:hAnsi="Times New Roman" w:cs="Times New Roman"/>
          <w:sz w:val="24"/>
          <w:szCs w:val="24"/>
        </w:rPr>
        <w:t xml:space="preserve"> súhlas nadpolovičnej väčšiny podielových spoluvlastníkov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 tým, že v opačnom prípade</w:t>
      </w:r>
      <w:r w:rsidR="00A966A4">
        <w:rPr>
          <w:rFonts w:ascii="Times New Roman" w:eastAsia="Times New Roman" w:hAnsi="Times New Roman" w:cs="Times New Roman"/>
          <w:sz w:val="24"/>
          <w:szCs w:val="24"/>
        </w:rPr>
        <w:t xml:space="preserve"> musí užívateľ vrátiť pozemok do 30 dní po zbere úrody</w:t>
      </w:r>
      <w:r w:rsidR="002848B8" w:rsidRPr="0068388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48B8" w:rsidRPr="00683888" w:rsidRDefault="00A966A4" w:rsidP="002848B8">
      <w:pPr>
        <w:keepNext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korektnosti vzájomných vzťahov sa na strane druhej zavádza dvojmesačná lehota, v ktorej má vlastník pozemku buď prijať návrh nájomnej zmluvy od užívateľa</w:t>
      </w:r>
      <w:r w:rsidR="000E3041">
        <w:rPr>
          <w:rFonts w:ascii="Times New Roman" w:eastAsia="Times New Roman" w:hAnsi="Times New Roman" w:cs="Times New Roman"/>
          <w:sz w:val="24"/>
          <w:szCs w:val="24"/>
        </w:rPr>
        <w:t xml:space="preserve"> (pričom užívateľ vlastníka pri návrhu nájomnej zmluvy upozorní na dôsledky nekonania)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pozemku (ktorý bol doteraz užívaný bez nájomnej zmluvy), alebo tento návrh odmietnuť, resp. vyzvať užívateľa na vrátenie pozemku, keďže ak k jednému z týchto úkonov nepríde, má sa za to, že vzniko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l nájomný vzťah na neurčitý čas, ktorý bude možné vypovedať v rámci jednoročnej výpovednej lehoty k 1. novembru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04" w:rsidRPr="00683888" w:rsidRDefault="003A4804" w:rsidP="003A4804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Spresňuje sa tiež postup v prípadoch, ak počas platnosti a účinnosti nájomnej zmluvy dôjde k predaju podniku</w:t>
      </w:r>
      <w:r>
        <w:rPr>
          <w:rFonts w:ascii="Times New Roman" w:hAnsi="Times New Roman"/>
          <w:sz w:val="24"/>
          <w:szCs w:val="24"/>
        </w:rPr>
        <w:t xml:space="preserve">, predaju väčšinového podielu, </w:t>
      </w:r>
      <w:r w:rsidRPr="002274CA">
        <w:rPr>
          <w:rFonts w:ascii="Times New Roman" w:hAnsi="Times New Roman"/>
          <w:sz w:val="24"/>
          <w:szCs w:val="24"/>
        </w:rPr>
        <w:t>predaju väčšiny majetkových podielov</w:t>
      </w:r>
      <w:r w:rsidR="009E1053">
        <w:rPr>
          <w:rFonts w:ascii="Times New Roman" w:hAnsi="Times New Roman"/>
          <w:sz w:val="24"/>
          <w:szCs w:val="24"/>
        </w:rPr>
        <w:t xml:space="preserve"> </w:t>
      </w:r>
      <w:r w:rsidRPr="002274CA">
        <w:rPr>
          <w:rFonts w:ascii="Times New Roman" w:hAnsi="Times New Roman"/>
          <w:sz w:val="24"/>
          <w:szCs w:val="24"/>
        </w:rPr>
        <w:t>alebo väčšiny akcií</w:t>
      </w:r>
      <w:r>
        <w:rPr>
          <w:rFonts w:ascii="Times New Roman" w:hAnsi="Times New Roman"/>
          <w:sz w:val="24"/>
          <w:szCs w:val="24"/>
        </w:rPr>
        <w:t xml:space="preserve"> doterajšieho nájomcu.</w:t>
      </w:r>
      <w:r w:rsidR="009E1053">
        <w:rPr>
          <w:rFonts w:ascii="Times New Roman" w:hAnsi="Times New Roman"/>
          <w:sz w:val="24"/>
          <w:szCs w:val="24"/>
        </w:rPr>
        <w:t xml:space="preserve"> </w:t>
      </w:r>
      <w:r w:rsidR="000E3041">
        <w:rPr>
          <w:rFonts w:ascii="Times New Roman" w:eastAsia="Times New Roman" w:hAnsi="Times New Roman" w:cs="Times New Roman"/>
          <w:sz w:val="24"/>
          <w:szCs w:val="24"/>
        </w:rPr>
        <w:t xml:space="preserve">Zavádza sa povinnosť pre nájomcu zverejniť </w:t>
      </w:r>
      <w:r w:rsidR="00DE1356">
        <w:rPr>
          <w:rFonts w:ascii="Times New Roman" w:eastAsia="Times New Roman" w:hAnsi="Times New Roman" w:cs="Times New Roman"/>
          <w:sz w:val="24"/>
          <w:szCs w:val="24"/>
        </w:rPr>
        <w:t xml:space="preserve">oznámenie o tejto skutočnosti </w:t>
      </w:r>
      <w:r w:rsidR="000E3041">
        <w:rPr>
          <w:rFonts w:ascii="Times New Roman" w:eastAsia="Times New Roman" w:hAnsi="Times New Roman" w:cs="Times New Roman"/>
          <w:sz w:val="24"/>
          <w:szCs w:val="24"/>
        </w:rPr>
        <w:t>po dobu 15 dní  na úradnej tabuli obce, v katastrálnom území ktorej sa pozemok nachádza. Novela zákona dáva prenajímateľ m</w:t>
      </w:r>
      <w:r w:rsidR="00DE13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3041">
        <w:rPr>
          <w:rFonts w:ascii="Times New Roman" w:eastAsia="Times New Roman" w:hAnsi="Times New Roman" w:cs="Times New Roman"/>
          <w:sz w:val="24"/>
          <w:szCs w:val="24"/>
        </w:rPr>
        <w:t>žnosť</w:t>
      </w:r>
      <w:r w:rsidR="00DE1356">
        <w:rPr>
          <w:rFonts w:ascii="Times New Roman" w:eastAsia="Times New Roman" w:hAnsi="Times New Roman" w:cs="Times New Roman"/>
          <w:sz w:val="24"/>
          <w:szCs w:val="24"/>
        </w:rPr>
        <w:t xml:space="preserve"> rozhodnúť </w:t>
      </w:r>
      <w:r w:rsidR="00DE1356" w:rsidRPr="00F55B1F">
        <w:rPr>
          <w:rFonts w:ascii="Times New Roman" w:eastAsia="Times New Roman" w:hAnsi="Times New Roman" w:cs="Times New Roman"/>
          <w:sz w:val="24"/>
          <w:szCs w:val="24"/>
        </w:rPr>
        <w:t>sa</w:t>
      </w:r>
      <w:r w:rsidR="001263FB" w:rsidRPr="00F55B1F">
        <w:rPr>
          <w:rFonts w:ascii="Times New Roman" w:eastAsia="Times New Roman" w:hAnsi="Times New Roman" w:cs="Times New Roman"/>
          <w:sz w:val="24"/>
          <w:szCs w:val="24"/>
        </w:rPr>
        <w:t xml:space="preserve"> ukončiť nájomný vzťah</w:t>
      </w:r>
      <w:r w:rsidR="00DE1356" w:rsidRPr="00F55B1F">
        <w:rPr>
          <w:rFonts w:ascii="Times New Roman" w:eastAsia="Times New Roman" w:hAnsi="Times New Roman" w:cs="Times New Roman"/>
          <w:sz w:val="24"/>
          <w:szCs w:val="24"/>
        </w:rPr>
        <w:t xml:space="preserve">; a to </w:t>
      </w:r>
      <w:r w:rsidR="009E105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0E3041" w:rsidRPr="00F55B1F">
        <w:rPr>
          <w:rFonts w:ascii="Times New Roman" w:eastAsia="Times New Roman" w:hAnsi="Times New Roman" w:cs="Times New Roman"/>
          <w:sz w:val="24"/>
          <w:szCs w:val="24"/>
        </w:rPr>
        <w:t>lehote 6 mesiacov odo dňa zvesenia oznámenia</w:t>
      </w:r>
      <w:r w:rsidR="00DE1356" w:rsidRPr="00F55B1F">
        <w:rPr>
          <w:rFonts w:ascii="Times New Roman" w:eastAsia="Times New Roman" w:hAnsi="Times New Roman" w:cs="Times New Roman"/>
          <w:sz w:val="24"/>
          <w:szCs w:val="24"/>
        </w:rPr>
        <w:t xml:space="preserve">, že došlo k predaju </w:t>
      </w:r>
      <w:r w:rsidR="00DE1356">
        <w:rPr>
          <w:rFonts w:ascii="Times New Roman" w:eastAsia="Times New Roman" w:hAnsi="Times New Roman" w:cs="Times New Roman"/>
          <w:sz w:val="24"/>
          <w:szCs w:val="24"/>
        </w:rPr>
        <w:t xml:space="preserve">podniku, </w:t>
      </w:r>
      <w:r w:rsidR="00DE1356">
        <w:rPr>
          <w:rFonts w:ascii="Times New Roman" w:hAnsi="Times New Roman"/>
          <w:sz w:val="24"/>
          <w:szCs w:val="24"/>
        </w:rPr>
        <w:t xml:space="preserve">predaju väčšinového podielu, </w:t>
      </w:r>
      <w:r w:rsidR="00DE1356" w:rsidRPr="002274CA">
        <w:rPr>
          <w:rFonts w:ascii="Times New Roman" w:hAnsi="Times New Roman"/>
          <w:sz w:val="24"/>
          <w:szCs w:val="24"/>
        </w:rPr>
        <w:t>predaju väčšiny majetkových podielov</w:t>
      </w:r>
      <w:r w:rsidR="009E1053">
        <w:rPr>
          <w:rFonts w:ascii="Times New Roman" w:hAnsi="Times New Roman"/>
          <w:sz w:val="24"/>
          <w:szCs w:val="24"/>
        </w:rPr>
        <w:t xml:space="preserve"> </w:t>
      </w:r>
      <w:r w:rsidR="00DE1356" w:rsidRPr="002274CA">
        <w:rPr>
          <w:rFonts w:ascii="Times New Roman" w:hAnsi="Times New Roman"/>
          <w:sz w:val="24"/>
          <w:szCs w:val="24"/>
        </w:rPr>
        <w:t>alebo väčšiny akcií</w:t>
      </w:r>
      <w:r w:rsidR="00DE1356">
        <w:rPr>
          <w:rFonts w:ascii="Times New Roman" w:hAnsi="Times New Roman"/>
          <w:sz w:val="24"/>
          <w:szCs w:val="24"/>
        </w:rPr>
        <w:t xml:space="preserve"> doterajšieho nájomcu</w:t>
      </w:r>
      <w:r w:rsidR="002826B8">
        <w:rPr>
          <w:rFonts w:ascii="Times New Roman" w:hAnsi="Times New Roman"/>
          <w:sz w:val="24"/>
          <w:szCs w:val="24"/>
        </w:rPr>
        <w:t xml:space="preserve"> alebo odo dňa, keď sa o tejto skutočnosti dozvedel</w:t>
      </w:r>
      <w:r w:rsidR="00DE1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6FE4" w:rsidRDefault="00676FE4" w:rsidP="003E36C6">
      <w:pPr>
        <w:widowControl w:val="0"/>
        <w:spacing w:after="6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6C6" w:rsidRDefault="00D17E5F" w:rsidP="003E36C6">
      <w:pPr>
        <w:widowControl w:val="0"/>
        <w:spacing w:after="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8">
        <w:rPr>
          <w:rFonts w:ascii="Times New Roman" w:hAnsi="Times New Roman"/>
          <w:b/>
          <w:sz w:val="24"/>
          <w:szCs w:val="24"/>
        </w:rPr>
        <w:t xml:space="preserve">K bodu </w:t>
      </w:r>
      <w:r w:rsidR="00DE1356">
        <w:rPr>
          <w:rFonts w:ascii="Times New Roman" w:hAnsi="Times New Roman"/>
          <w:b/>
          <w:sz w:val="24"/>
          <w:szCs w:val="24"/>
        </w:rPr>
        <w:t>8</w:t>
      </w:r>
    </w:p>
    <w:p w:rsidR="00B1736B" w:rsidRDefault="003E36C6" w:rsidP="003E36C6">
      <w:pPr>
        <w:widowControl w:val="0"/>
        <w:spacing w:after="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8">
        <w:rPr>
          <w:rFonts w:ascii="Times New Roman" w:hAnsi="Times New Roman" w:cs="Times New Roman"/>
          <w:sz w:val="24"/>
          <w:szCs w:val="24"/>
        </w:rPr>
        <w:t>Špecifikuje sa procesný postup pri vzniku podnájomného vzťahu v</w:t>
      </w:r>
      <w:r w:rsidR="003C19F6">
        <w:rPr>
          <w:rFonts w:ascii="Times New Roman" w:hAnsi="Times New Roman" w:cs="Times New Roman"/>
          <w:sz w:val="24"/>
          <w:szCs w:val="24"/>
        </w:rPr>
        <w:t> </w:t>
      </w:r>
      <w:r w:rsidRPr="00683888">
        <w:rPr>
          <w:rFonts w:ascii="Times New Roman" w:hAnsi="Times New Roman" w:cs="Times New Roman"/>
          <w:sz w:val="24"/>
          <w:szCs w:val="24"/>
        </w:rPr>
        <w:t>prípadoch</w:t>
      </w:r>
      <w:r w:rsidR="003C19F6">
        <w:rPr>
          <w:rFonts w:ascii="Times New Roman" w:hAnsi="Times New Roman" w:cs="Times New Roman"/>
          <w:sz w:val="24"/>
          <w:szCs w:val="24"/>
        </w:rPr>
        <w:t>,</w:t>
      </w:r>
      <w:r w:rsidRPr="00683888">
        <w:rPr>
          <w:rFonts w:ascii="Times New Roman" w:hAnsi="Times New Roman" w:cs="Times New Roman"/>
          <w:sz w:val="24"/>
          <w:szCs w:val="24"/>
        </w:rPr>
        <w:t xml:space="preserve"> kedy nájomca užíva pozemky</w:t>
      </w:r>
      <w:r w:rsidR="003C19F6">
        <w:rPr>
          <w:rFonts w:ascii="Times New Roman" w:hAnsi="Times New Roman" w:cs="Times New Roman"/>
          <w:sz w:val="24"/>
          <w:szCs w:val="24"/>
        </w:rPr>
        <w:t>,</w:t>
      </w:r>
      <w:r w:rsidRPr="00683888">
        <w:rPr>
          <w:rFonts w:ascii="Times New Roman" w:hAnsi="Times New Roman" w:cs="Times New Roman"/>
          <w:sz w:val="24"/>
          <w:szCs w:val="24"/>
        </w:rPr>
        <w:t xml:space="preserve"> kde sa zmluvný</w:t>
      </w:r>
      <w:r w:rsidR="003C19F6">
        <w:rPr>
          <w:rFonts w:ascii="Times New Roman" w:hAnsi="Times New Roman" w:cs="Times New Roman"/>
          <w:sz w:val="24"/>
          <w:szCs w:val="24"/>
        </w:rPr>
        <w:t xml:space="preserve"> alebo zákonný</w:t>
      </w:r>
      <w:r w:rsidRPr="00683888">
        <w:rPr>
          <w:rFonts w:ascii="Times New Roman" w:hAnsi="Times New Roman" w:cs="Times New Roman"/>
          <w:sz w:val="24"/>
          <w:szCs w:val="24"/>
        </w:rPr>
        <w:t xml:space="preserve"> nájom skončil alebo sa má skončiť. </w:t>
      </w:r>
      <w:r w:rsidR="00B1736B">
        <w:rPr>
          <w:rFonts w:ascii="Times New Roman" w:hAnsi="Times New Roman" w:cs="Times New Roman"/>
          <w:sz w:val="24"/>
          <w:szCs w:val="24"/>
        </w:rPr>
        <w:t xml:space="preserve">Je uprednostňovaná dohoda medzi nájomcom a doterajším prenajímateľom </w:t>
      </w:r>
      <w:r w:rsidR="007374D7">
        <w:rPr>
          <w:rFonts w:ascii="Times New Roman" w:hAnsi="Times New Roman" w:cs="Times New Roman"/>
          <w:sz w:val="24"/>
          <w:szCs w:val="24"/>
        </w:rPr>
        <w:t xml:space="preserve">(teda vlastníkom pozemku) </w:t>
      </w:r>
      <w:r w:rsidR="00B1736B">
        <w:rPr>
          <w:rFonts w:ascii="Times New Roman" w:hAnsi="Times New Roman" w:cs="Times New Roman"/>
          <w:sz w:val="24"/>
          <w:szCs w:val="24"/>
        </w:rPr>
        <w:t>o vzniku podnájomnej zmlu</w:t>
      </w:r>
      <w:r w:rsidR="009E1053">
        <w:rPr>
          <w:rFonts w:ascii="Times New Roman" w:hAnsi="Times New Roman" w:cs="Times New Roman"/>
          <w:sz w:val="24"/>
          <w:szCs w:val="24"/>
        </w:rPr>
        <w:t>vy, ak však k jej uzavretiu do 60</w:t>
      </w:r>
      <w:r w:rsidR="00B1736B">
        <w:rPr>
          <w:rFonts w:ascii="Times New Roman" w:hAnsi="Times New Roman" w:cs="Times New Roman"/>
          <w:sz w:val="24"/>
          <w:szCs w:val="24"/>
        </w:rPr>
        <w:t xml:space="preserve"> dní odo dňa </w:t>
      </w:r>
      <w:r w:rsidR="007374D7">
        <w:rPr>
          <w:rFonts w:ascii="Times New Roman" w:hAnsi="Times New Roman" w:cs="Times New Roman"/>
          <w:sz w:val="24"/>
          <w:szCs w:val="24"/>
        </w:rPr>
        <w:t xml:space="preserve">podania </w:t>
      </w:r>
      <w:r w:rsidR="00B1736B">
        <w:rPr>
          <w:rFonts w:ascii="Times New Roman" w:hAnsi="Times New Roman" w:cs="Times New Roman"/>
          <w:sz w:val="24"/>
          <w:szCs w:val="24"/>
        </w:rPr>
        <w:t xml:space="preserve">žiadosti </w:t>
      </w:r>
      <w:r w:rsidR="007374D7">
        <w:rPr>
          <w:rFonts w:ascii="Times New Roman" w:hAnsi="Times New Roman" w:cs="Times New Roman"/>
          <w:sz w:val="24"/>
          <w:szCs w:val="24"/>
        </w:rPr>
        <w:t xml:space="preserve">doterajšieho prenajímateľa  </w:t>
      </w:r>
      <w:r w:rsidR="00B1736B">
        <w:rPr>
          <w:rFonts w:ascii="Times New Roman" w:hAnsi="Times New Roman" w:cs="Times New Roman"/>
          <w:sz w:val="24"/>
          <w:szCs w:val="24"/>
        </w:rPr>
        <w:t>o uzavretie podnájomnej zmluvy</w:t>
      </w:r>
      <w:r w:rsidR="007374D7">
        <w:rPr>
          <w:rFonts w:ascii="Times New Roman" w:hAnsi="Times New Roman" w:cs="Times New Roman"/>
          <w:sz w:val="24"/>
          <w:szCs w:val="24"/>
        </w:rPr>
        <w:t xml:space="preserve"> adresovanej nájomcovi</w:t>
      </w:r>
      <w:r w:rsidR="00B1736B">
        <w:rPr>
          <w:rFonts w:ascii="Times New Roman" w:hAnsi="Times New Roman" w:cs="Times New Roman"/>
          <w:sz w:val="24"/>
          <w:szCs w:val="24"/>
        </w:rPr>
        <w:t xml:space="preserve"> nepríde, doterajší prenajímateľ podá na príslušný okresný úrad </w:t>
      </w:r>
      <w:r w:rsidR="007374D7">
        <w:rPr>
          <w:rFonts w:ascii="Times New Roman" w:hAnsi="Times New Roman" w:cs="Times New Roman"/>
          <w:sz w:val="24"/>
          <w:szCs w:val="24"/>
        </w:rPr>
        <w:t>žiadosť o vydanie rozhodnutia, že k určeným pozemkom vzniká v jeho prospech podnájomný vzťah.</w:t>
      </w:r>
    </w:p>
    <w:p w:rsidR="003A7B7B" w:rsidRDefault="003E36C6" w:rsidP="003A7B7B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en-US"/>
        </w:rPr>
      </w:pPr>
      <w:r w:rsidRPr="00683888">
        <w:rPr>
          <w:rFonts w:ascii="Times New Roman" w:hAnsi="Times New Roman"/>
          <w:sz w:val="24"/>
          <w:szCs w:val="24"/>
        </w:rPr>
        <w:t xml:space="preserve">Špecifikujú sa </w:t>
      </w:r>
      <w:r w:rsidR="007374D7">
        <w:rPr>
          <w:rFonts w:ascii="Times New Roman" w:hAnsi="Times New Roman"/>
          <w:sz w:val="24"/>
          <w:szCs w:val="24"/>
        </w:rPr>
        <w:t xml:space="preserve">preto </w:t>
      </w:r>
      <w:r w:rsidR="007374D7">
        <w:rPr>
          <w:rFonts w:ascii="Times New Roman" w:eastAsia="Times New Roman" w:hAnsi="Times New Roman"/>
          <w:sz w:val="24"/>
          <w:szCs w:val="24"/>
        </w:rPr>
        <w:t>práva a povinnosti nájomcu a</w:t>
      </w:r>
      <w:r w:rsidR="003A7B7B">
        <w:rPr>
          <w:rFonts w:ascii="Times New Roman" w:eastAsia="Times New Roman" w:hAnsi="Times New Roman"/>
          <w:sz w:val="24"/>
          <w:szCs w:val="24"/>
        </w:rPr>
        <w:t xml:space="preserve"> </w:t>
      </w:r>
      <w:r w:rsidR="007374D7">
        <w:rPr>
          <w:rFonts w:ascii="Times New Roman" w:eastAsia="Times New Roman" w:hAnsi="Times New Roman"/>
          <w:sz w:val="24"/>
          <w:szCs w:val="24"/>
        </w:rPr>
        <w:t>doterajšieho prenajímateľa</w:t>
      </w:r>
      <w:r w:rsidR="003A7B7B">
        <w:rPr>
          <w:rFonts w:ascii="Times New Roman" w:eastAsia="Times New Roman" w:hAnsi="Times New Roman"/>
          <w:sz w:val="24"/>
          <w:szCs w:val="24"/>
        </w:rPr>
        <w:t xml:space="preserve"> </w:t>
      </w:r>
      <w:r w:rsidR="007374D7">
        <w:rPr>
          <w:rFonts w:ascii="Times New Roman" w:eastAsia="Times New Roman" w:hAnsi="Times New Roman"/>
          <w:sz w:val="24"/>
          <w:szCs w:val="24"/>
        </w:rPr>
        <w:t>pri</w:t>
      </w:r>
      <w:r w:rsidRPr="00683888">
        <w:rPr>
          <w:rFonts w:ascii="Times New Roman" w:eastAsia="Times New Roman" w:hAnsi="Times New Roman"/>
          <w:sz w:val="24"/>
          <w:szCs w:val="24"/>
        </w:rPr>
        <w:t xml:space="preserve"> vzniku podnájomného vzťahu, ako aj kompetencie okresného úradu </w:t>
      </w:r>
      <w:r w:rsidR="00B1736B">
        <w:rPr>
          <w:rFonts w:ascii="Times New Roman" w:eastAsia="Times New Roman" w:hAnsi="Times New Roman"/>
          <w:sz w:val="24"/>
          <w:szCs w:val="24"/>
        </w:rPr>
        <w:t>pri vedení správneho konania</w:t>
      </w:r>
      <w:r w:rsidR="003A7B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3888">
        <w:rPr>
          <w:rFonts w:ascii="Times New Roman" w:eastAsia="Times New Roman" w:hAnsi="Times New Roman"/>
          <w:sz w:val="24"/>
          <w:szCs w:val="24"/>
        </w:rPr>
        <w:t xml:space="preserve">v prípadoch, ak nájomca nesplní povinnosť uzatvoriť s vlastníkom podnájomnú zmluvu. </w:t>
      </w:r>
    </w:p>
    <w:p w:rsidR="003A7B7B" w:rsidRPr="003A7B7B" w:rsidRDefault="003A7B7B" w:rsidP="003A7B7B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en-US"/>
        </w:rPr>
      </w:pPr>
      <w:r w:rsidRPr="003A7B7B">
        <w:rPr>
          <w:rFonts w:ascii="Times New Roman" w:hAnsi="Times New Roman"/>
          <w:sz w:val="24"/>
          <w:szCs w:val="24"/>
          <w:lang w:eastAsia="en-US"/>
        </w:rPr>
        <w:t>Vyčleňovanie podnájomného pozemku v teréne sa realizuje prostredníctvom rozdeľovacieho plánu, ktorý obsahuje</w:t>
      </w:r>
      <w:r w:rsidRPr="003A7B7B">
        <w:rPr>
          <w:rFonts w:ascii="Times New Roman" w:hAnsi="Times New Roman"/>
          <w:sz w:val="24"/>
          <w:szCs w:val="24"/>
        </w:rPr>
        <w:t xml:space="preserve"> jednoznačné geometrické a polohové určenie podnájomného pozemku v</w:t>
      </w:r>
      <w:r>
        <w:t xml:space="preserve"> </w:t>
      </w:r>
      <w:r w:rsidRPr="003A7B7B">
        <w:rPr>
          <w:rFonts w:ascii="Times New Roman" w:hAnsi="Times New Roman"/>
          <w:sz w:val="24"/>
          <w:szCs w:val="24"/>
        </w:rPr>
        <w:lastRenderedPageBreak/>
        <w:t>záväznom zobrazovacom systéme S-JTSK</w:t>
      </w:r>
      <w:r w:rsidRPr="003A7B7B">
        <w:rPr>
          <w:rFonts w:ascii="Times New Roman" w:hAnsi="Times New Roman"/>
          <w:sz w:val="24"/>
          <w:szCs w:val="24"/>
          <w:lang w:eastAsia="en-US"/>
        </w:rPr>
        <w:t>, pričom náklady na jeho vyhotovenie znášajú nájomca a doterajší prenajímateľ rovnakým dielom.</w:t>
      </w:r>
    </w:p>
    <w:p w:rsidR="007374D7" w:rsidRDefault="007374D7" w:rsidP="003E36C6">
      <w:pPr>
        <w:widowControl w:val="0"/>
        <w:spacing w:after="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4D7" w:rsidRDefault="003E36C6" w:rsidP="003E36C6">
      <w:pPr>
        <w:widowControl w:val="0"/>
        <w:spacing w:after="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88">
        <w:rPr>
          <w:rFonts w:ascii="Times New Roman" w:eastAsia="Times New Roman" w:hAnsi="Times New Roman" w:cs="Times New Roman"/>
          <w:sz w:val="24"/>
          <w:szCs w:val="24"/>
        </w:rPr>
        <w:t>Ak ide o podielového spoluvlastníka, ktor</w:t>
      </w:r>
      <w:r w:rsidR="00B1736B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nedisponuje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nadpolovičným 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>spoluvlastníckym podielom</w:t>
      </w:r>
      <w:r w:rsidR="007E7162">
        <w:rPr>
          <w:rFonts w:ascii="Times New Roman" w:eastAsia="Times New Roman" w:hAnsi="Times New Roman" w:cs="Times New Roman"/>
          <w:sz w:val="24"/>
          <w:szCs w:val="24"/>
        </w:rPr>
        <w:t xml:space="preserve"> na pozemku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pre postup podľa § 12a </w:t>
      </w:r>
      <w:r w:rsidR="00075973" w:rsidRPr="00683888">
        <w:rPr>
          <w:rFonts w:ascii="Times New Roman" w:eastAsia="Times New Roman" w:hAnsi="Times New Roman" w:cs="Times New Roman"/>
          <w:sz w:val="24"/>
          <w:szCs w:val="24"/>
        </w:rPr>
        <w:t xml:space="preserve">bude potrebné 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>doložiť písomný súhlas ďalších spoluvlastníkov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 xml:space="preserve"> tak, aby súčet spoluvlastníckeho podielu žiadateľa o postup podľa § 12a spolu so získanými súhlasmi spoluvlastníkov </w:t>
      </w:r>
      <w:r w:rsidR="007E7162">
        <w:rPr>
          <w:rFonts w:ascii="Times New Roman" w:eastAsia="Times New Roman" w:hAnsi="Times New Roman" w:cs="Times New Roman"/>
          <w:sz w:val="24"/>
          <w:szCs w:val="24"/>
        </w:rPr>
        <w:t xml:space="preserve">tvoril 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nadpolovičný spoluvlastnícky podiel na predmetnom pozemku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36C6" w:rsidRDefault="003E36C6" w:rsidP="003E36C6">
      <w:pPr>
        <w:widowControl w:val="0"/>
        <w:spacing w:after="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Postup podľa § 12a 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môže použiť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aj fyzick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alebo právnick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a, ktorá má s vlastníkom pozemkov uzatvorenú nájomnú zmluvu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(„budúci obhospodarovateľ“)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, a to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 xml:space="preserve"> po predložení </w:t>
      </w:r>
      <w:r w:rsidR="007E7162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9E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888">
        <w:rPr>
          <w:rFonts w:ascii="Times New Roman" w:eastAsia="Times New Roman" w:hAnsi="Times New Roman" w:cs="Times New Roman"/>
          <w:sz w:val="24"/>
          <w:szCs w:val="24"/>
        </w:rPr>
        <w:t>novej nájomnej zmluvy na pozemky</w:t>
      </w:r>
      <w:r w:rsidR="000759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888">
        <w:rPr>
          <w:rFonts w:ascii="Times New Roman" w:hAnsi="Times New Roman" w:cs="Times New Roman"/>
          <w:sz w:val="24"/>
          <w:szCs w:val="24"/>
        </w:rPr>
        <w:t>kde sa zmluvný nájom skončil alebo sa má skončiť</w:t>
      </w:r>
      <w:r w:rsidR="00075973">
        <w:rPr>
          <w:rFonts w:ascii="Times New Roman" w:hAnsi="Times New Roman" w:cs="Times New Roman"/>
          <w:sz w:val="24"/>
          <w:szCs w:val="24"/>
        </w:rPr>
        <w:t xml:space="preserve">, pričom je zrejmé, že ide o neprístupné pozemky alebo pozemky, ktoré nemožno racionálne užívať, s tým, že podnájomný vzťah </w:t>
      </w:r>
      <w:r w:rsidR="007E7162">
        <w:rPr>
          <w:rFonts w:ascii="Times New Roman" w:hAnsi="Times New Roman" w:cs="Times New Roman"/>
          <w:sz w:val="24"/>
          <w:szCs w:val="24"/>
        </w:rPr>
        <w:t xml:space="preserve">už </w:t>
      </w:r>
      <w:r w:rsidR="00075973">
        <w:rPr>
          <w:rFonts w:ascii="Times New Roman" w:hAnsi="Times New Roman" w:cs="Times New Roman"/>
          <w:sz w:val="24"/>
          <w:szCs w:val="24"/>
        </w:rPr>
        <w:t>vznikne priamo v prospech tohto budúceho obhospodarovateľa</w:t>
      </w:r>
      <w:r w:rsidRPr="0068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B7B" w:rsidRPr="00683888" w:rsidRDefault="003A7B7B" w:rsidP="003E36C6">
      <w:pPr>
        <w:widowControl w:val="0"/>
        <w:spacing w:after="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5F" w:rsidRPr="00683888" w:rsidRDefault="00D17E5F" w:rsidP="00D17E5F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8E5E06" w:rsidRDefault="00DE1356" w:rsidP="00A344B2">
      <w:pPr>
        <w:pStyle w:val="Textkomentra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9 a 10 </w:t>
      </w:r>
    </w:p>
    <w:p w:rsidR="007E7162" w:rsidRDefault="007E7162" w:rsidP="00A344B2">
      <w:pPr>
        <w:pStyle w:val="Textkomentra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7E7162" w:rsidRDefault="007E7162" w:rsidP="007E7162">
      <w:pPr>
        <w:pStyle w:val="Textkomentra"/>
        <w:rPr>
          <w:rFonts w:ascii="Times New Roman" w:hAnsi="Times New Roman"/>
          <w:sz w:val="24"/>
          <w:szCs w:val="24"/>
        </w:rPr>
      </w:pPr>
      <w:r w:rsidRPr="007E7162">
        <w:rPr>
          <w:rFonts w:ascii="Times New Roman" w:hAnsi="Times New Roman"/>
          <w:sz w:val="24"/>
          <w:szCs w:val="24"/>
        </w:rPr>
        <w:t>Predno</w:t>
      </w:r>
      <w:r>
        <w:rPr>
          <w:rFonts w:ascii="Times New Roman" w:hAnsi="Times New Roman"/>
          <w:sz w:val="24"/>
          <w:szCs w:val="24"/>
        </w:rPr>
        <w:t>stné právo na uzavretie novej nájomnej zmluvy je v aplikačnej praxi často predmetom rôznych výkladov a sporov ohľadom jeho vykonateľnosti</w:t>
      </w:r>
      <w:r w:rsidR="00D67099">
        <w:rPr>
          <w:rFonts w:ascii="Times New Roman" w:hAnsi="Times New Roman"/>
          <w:sz w:val="24"/>
          <w:szCs w:val="24"/>
        </w:rPr>
        <w:t>. V snahe obmedziť možné súdne spory ohľadom realizácie tohto práva nov</w:t>
      </w:r>
      <w:r w:rsidR="00D67099" w:rsidRPr="00F55B1F">
        <w:rPr>
          <w:rFonts w:ascii="Times New Roman" w:hAnsi="Times New Roman"/>
          <w:sz w:val="24"/>
          <w:szCs w:val="24"/>
        </w:rPr>
        <w:t xml:space="preserve">ela </w:t>
      </w:r>
      <w:r w:rsidR="001263FB" w:rsidRPr="00F55B1F">
        <w:rPr>
          <w:rFonts w:ascii="Times New Roman" w:hAnsi="Times New Roman"/>
          <w:sz w:val="24"/>
          <w:szCs w:val="24"/>
        </w:rPr>
        <w:t>definuje prípady, kedy sa toto právo pri uzatváraní nových nájomných zmlúv neuplatní</w:t>
      </w:r>
      <w:r w:rsidR="00D67099">
        <w:rPr>
          <w:rFonts w:ascii="Times New Roman" w:hAnsi="Times New Roman"/>
          <w:sz w:val="24"/>
          <w:szCs w:val="24"/>
        </w:rPr>
        <w:t xml:space="preserve">(nájomca neplní záväzky zo zmluvy riadne a včas; </w:t>
      </w:r>
      <w:r w:rsidR="00D67099" w:rsidRPr="00D67099">
        <w:rPr>
          <w:rFonts w:ascii="Times New Roman" w:hAnsi="Times New Roman"/>
          <w:sz w:val="24"/>
          <w:szCs w:val="24"/>
        </w:rPr>
        <w:t>prenajíma</w:t>
      </w:r>
      <w:r w:rsidR="00D67099">
        <w:rPr>
          <w:rFonts w:ascii="Times New Roman" w:hAnsi="Times New Roman"/>
          <w:sz w:val="24"/>
          <w:szCs w:val="24"/>
        </w:rPr>
        <w:t xml:space="preserve">teľ podniká v poľnohospodárstve; </w:t>
      </w:r>
      <w:r w:rsidR="00D67099" w:rsidRPr="00D67099">
        <w:rPr>
          <w:rFonts w:ascii="Times New Roman" w:hAnsi="Times New Roman"/>
          <w:sz w:val="24"/>
          <w:szCs w:val="24"/>
        </w:rPr>
        <w:t xml:space="preserve">ak </w:t>
      </w:r>
      <w:r w:rsidR="00D67099">
        <w:rPr>
          <w:rFonts w:ascii="Times New Roman" w:hAnsi="Times New Roman"/>
          <w:sz w:val="24"/>
          <w:szCs w:val="24"/>
        </w:rPr>
        <w:t>by mal</w:t>
      </w:r>
      <w:r w:rsidR="00D67099" w:rsidRPr="00D67099">
        <w:rPr>
          <w:rFonts w:ascii="Times New Roman" w:hAnsi="Times New Roman"/>
          <w:sz w:val="24"/>
          <w:szCs w:val="24"/>
        </w:rPr>
        <w:t xml:space="preserve"> byť nájo</w:t>
      </w:r>
      <w:r w:rsidR="00D67099">
        <w:rPr>
          <w:rFonts w:ascii="Times New Roman" w:hAnsi="Times New Roman"/>
          <w:sz w:val="24"/>
          <w:szCs w:val="24"/>
        </w:rPr>
        <w:t xml:space="preserve">mcom blízka osoba prenajímateľa; </w:t>
      </w:r>
      <w:r w:rsidR="00D67099" w:rsidRPr="00D67099">
        <w:rPr>
          <w:rFonts w:ascii="Times New Roman" w:hAnsi="Times New Roman"/>
          <w:sz w:val="24"/>
          <w:szCs w:val="24"/>
        </w:rPr>
        <w:t xml:space="preserve">ak </w:t>
      </w:r>
      <w:r w:rsidR="00D67099">
        <w:rPr>
          <w:rFonts w:ascii="Times New Roman" w:hAnsi="Times New Roman"/>
          <w:sz w:val="24"/>
          <w:szCs w:val="24"/>
        </w:rPr>
        <w:t>by mal</w:t>
      </w:r>
      <w:r w:rsidR="00D67099" w:rsidRPr="00D67099">
        <w:rPr>
          <w:rFonts w:ascii="Times New Roman" w:hAnsi="Times New Roman"/>
          <w:sz w:val="24"/>
          <w:szCs w:val="24"/>
        </w:rPr>
        <w:t xml:space="preserve"> byť nájomcom právnická osoba, ktorej je prenaj</w:t>
      </w:r>
      <w:r w:rsidR="00D67099">
        <w:rPr>
          <w:rFonts w:ascii="Times New Roman" w:hAnsi="Times New Roman"/>
          <w:sz w:val="24"/>
          <w:szCs w:val="24"/>
        </w:rPr>
        <w:t>ímateľ členom alebo spoločníkom;</w:t>
      </w:r>
      <w:r w:rsidR="00D67099" w:rsidRPr="00D67099">
        <w:rPr>
          <w:rFonts w:ascii="Times New Roman" w:hAnsi="Times New Roman"/>
          <w:sz w:val="24"/>
          <w:szCs w:val="24"/>
        </w:rPr>
        <w:t xml:space="preserve"> ak ide o pozemok, ktorý je podľa osobitného predpisu určený na iné ako poľnohospodárske účely</w:t>
      </w:r>
      <w:r w:rsidR="00D67099" w:rsidRPr="00DB59CF">
        <w:rPr>
          <w:rFonts w:ascii="Times New Roman" w:hAnsi="Times New Roman"/>
          <w:strike/>
          <w:sz w:val="24"/>
          <w:szCs w:val="24"/>
        </w:rPr>
        <w:t>)</w:t>
      </w:r>
      <w:r w:rsidR="00B610AF">
        <w:rPr>
          <w:rFonts w:ascii="Times New Roman" w:hAnsi="Times New Roman"/>
          <w:sz w:val="24"/>
          <w:szCs w:val="24"/>
        </w:rPr>
        <w:t>,</w:t>
      </w:r>
      <w:r w:rsidR="00D67099">
        <w:rPr>
          <w:rFonts w:ascii="Times New Roman" w:hAnsi="Times New Roman"/>
          <w:sz w:val="24"/>
          <w:szCs w:val="24"/>
        </w:rPr>
        <w:t> ak došlo k prevodu alebo prechodu vlastníckeho práva k</w:t>
      </w:r>
      <w:r w:rsidR="00DB59CF">
        <w:rPr>
          <w:rFonts w:ascii="Times New Roman" w:hAnsi="Times New Roman"/>
          <w:sz w:val="24"/>
          <w:szCs w:val="24"/>
        </w:rPr>
        <w:t> </w:t>
      </w:r>
      <w:r w:rsidR="00D67099">
        <w:rPr>
          <w:rFonts w:ascii="Times New Roman" w:hAnsi="Times New Roman"/>
          <w:sz w:val="24"/>
          <w:szCs w:val="24"/>
        </w:rPr>
        <w:t>pozemku</w:t>
      </w:r>
      <w:r w:rsidR="00DB59CF" w:rsidRPr="00F55B1F">
        <w:rPr>
          <w:rFonts w:ascii="Times New Roman" w:hAnsi="Times New Roman"/>
          <w:sz w:val="24"/>
          <w:szCs w:val="24"/>
        </w:rPr>
        <w:t>)</w:t>
      </w:r>
      <w:r w:rsidR="00D67099">
        <w:rPr>
          <w:rFonts w:ascii="Times New Roman" w:hAnsi="Times New Roman"/>
          <w:sz w:val="24"/>
          <w:szCs w:val="24"/>
        </w:rPr>
        <w:t xml:space="preserve">. S ohľadom na posledný dôvod nemožnosti realizácie prednostného práva  nájomcu je potrebné uviesť, že </w:t>
      </w:r>
      <w:r w:rsidR="00ED6CAA">
        <w:rPr>
          <w:rFonts w:ascii="Times New Roman" w:hAnsi="Times New Roman"/>
          <w:sz w:val="24"/>
          <w:szCs w:val="24"/>
        </w:rPr>
        <w:t>nový vlastník pozemku v súlade s § 680 ods. 2 Občianskeho zákonníka síce vstupuje do právneho postavenia prenajímateľa, avšak len do doby nájmu dohodnutej v platnej a účinnej nájomnej zmluvy. Následne pri uzatváraní novej nájomnej zmluvy už nie je obmedzený prednostným právom nájomcu, čo však samozrejme nevylučuje, že novú nájomnú zmluvu opätovne uzavrie s dovtedajším nájomcom.</w:t>
      </w:r>
      <w:r w:rsidR="00F55B1F">
        <w:rPr>
          <w:rFonts w:ascii="Times New Roman" w:hAnsi="Times New Roman"/>
          <w:sz w:val="24"/>
          <w:szCs w:val="24"/>
        </w:rPr>
        <w:t xml:space="preserve"> </w:t>
      </w:r>
      <w:r w:rsidR="00DB59CF" w:rsidRPr="00F55B1F">
        <w:rPr>
          <w:rFonts w:ascii="Times New Roman" w:hAnsi="Times New Roman"/>
          <w:sz w:val="24"/>
          <w:szCs w:val="24"/>
        </w:rPr>
        <w:t>Novela</w:t>
      </w:r>
      <w:r w:rsidR="00F55B1F">
        <w:rPr>
          <w:rFonts w:ascii="Times New Roman" w:hAnsi="Times New Roman"/>
          <w:sz w:val="24"/>
          <w:szCs w:val="24"/>
        </w:rPr>
        <w:t xml:space="preserve"> </w:t>
      </w:r>
      <w:r w:rsidR="00DB59CF" w:rsidRPr="00F55B1F">
        <w:rPr>
          <w:rFonts w:ascii="Times New Roman" w:hAnsi="Times New Roman"/>
          <w:sz w:val="24"/>
          <w:szCs w:val="24"/>
        </w:rPr>
        <w:t>tiež stanovila, že v prípade nerešpektovania prednostného práva na nájom sa právny úkon prenajímateľa bude považovať za neplatný, pokiaľ sa ten, kto je takýmto úkonom dotknutý (nájomca), neplatnosti právneho úkonu dovolá.</w:t>
      </w:r>
    </w:p>
    <w:p w:rsidR="007E7162" w:rsidRDefault="007E7162" w:rsidP="003E36C6">
      <w:pPr>
        <w:pStyle w:val="Textkomentra"/>
        <w:rPr>
          <w:rFonts w:ascii="Times New Roman" w:hAnsi="Times New Roman"/>
          <w:sz w:val="24"/>
          <w:szCs w:val="24"/>
        </w:rPr>
      </w:pPr>
    </w:p>
    <w:p w:rsidR="00E8424A" w:rsidRDefault="00ED6CAA" w:rsidP="003E36C6">
      <w:pPr>
        <w:pStyle w:val="Textkoment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Novela zároveň spresňuje </w:t>
      </w:r>
      <w:r w:rsidR="00D61CC2">
        <w:rPr>
          <w:rFonts w:ascii="Times New Roman" w:hAnsi="Times New Roman"/>
          <w:sz w:val="24"/>
          <w:szCs w:val="24"/>
        </w:rPr>
        <w:t xml:space="preserve">akým </w:t>
      </w:r>
      <w:r>
        <w:rPr>
          <w:rFonts w:ascii="Times New Roman" w:hAnsi="Times New Roman"/>
          <w:sz w:val="24"/>
          <w:szCs w:val="24"/>
        </w:rPr>
        <w:t>postup</w:t>
      </w:r>
      <w:r w:rsidR="00D61CC2"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a</w:t>
      </w:r>
      <w:r w:rsidR="00D61CC2">
        <w:rPr>
          <w:rFonts w:ascii="Times New Roman" w:hAnsi="Times New Roman"/>
          <w:sz w:val="24"/>
          <w:szCs w:val="24"/>
        </w:rPr>
        <w:t xml:space="preserve"> za akých </w:t>
      </w:r>
      <w:r>
        <w:rPr>
          <w:rFonts w:ascii="Times New Roman" w:hAnsi="Times New Roman"/>
          <w:sz w:val="24"/>
          <w:szCs w:val="24"/>
        </w:rPr>
        <w:t>podmien</w:t>
      </w:r>
      <w:r w:rsidR="00D61CC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 w:rsidR="00255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nájomca realiz</w:t>
      </w:r>
      <w:r w:rsidR="00D61CC2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svoje prednostné právo s tým, že najskôr rok pred uplynutím času, na ktorý bol nájom dohodnutý, musí preukázateľným spôsobom doručiť prenajímateľovi návrh novej nájomnej zmluvy. Ak </w:t>
      </w:r>
      <w:r w:rsidR="002075CD">
        <w:rPr>
          <w:rFonts w:ascii="Times New Roman" w:hAnsi="Times New Roman"/>
          <w:sz w:val="24"/>
          <w:szCs w:val="24"/>
        </w:rPr>
        <w:t xml:space="preserve">sa na prenajímateľa vzťahuje </w:t>
      </w:r>
      <w:r w:rsidR="002075CD">
        <w:rPr>
          <w:rFonts w:ascii="Times New Roman" w:eastAsia="Calibri" w:hAnsi="Times New Roman"/>
          <w:sz w:val="24"/>
          <w:szCs w:val="24"/>
        </w:rPr>
        <w:t xml:space="preserve">niektorý z dôvodov uvedených v odseku 2 alebo má prenajímateľ za to, že </w:t>
      </w:r>
      <w:r w:rsidR="002075CD">
        <w:rPr>
          <w:rFonts w:ascii="Times New Roman" w:hAnsi="Times New Roman"/>
          <w:sz w:val="24"/>
          <w:szCs w:val="24"/>
        </w:rPr>
        <w:t xml:space="preserve">navrhnutá výška nájomného nie je obvyklá </w:t>
      </w:r>
      <w:r w:rsidR="002075CD">
        <w:rPr>
          <w:rFonts w:ascii="Times New Roman" w:eastAsia="Calibri" w:hAnsi="Times New Roman"/>
          <w:sz w:val="24"/>
          <w:szCs w:val="24"/>
        </w:rPr>
        <w:t xml:space="preserve">nájomnému za poľnohospodársku pôdu v danom katastrálnom území, mal by návrh nájomcu </w:t>
      </w:r>
      <w:r w:rsidR="002075CD">
        <w:rPr>
          <w:rFonts w:ascii="Times New Roman" w:hAnsi="Times New Roman"/>
          <w:sz w:val="24"/>
          <w:szCs w:val="24"/>
        </w:rPr>
        <w:t>do dvoch mesiacov odo dňa jeho doručenia odmietnuť. V opačnom prípade vznikne nájomný vzťah za podmienok uvedených v návrhu nájomnej zmluvy, ktorú mu nájomca zaslal</w:t>
      </w:r>
      <w:r w:rsidR="00E8424A">
        <w:rPr>
          <w:rFonts w:ascii="Times New Roman" w:hAnsi="Times New Roman"/>
          <w:sz w:val="24"/>
          <w:szCs w:val="24"/>
        </w:rPr>
        <w:t xml:space="preserve">. </w:t>
      </w:r>
    </w:p>
    <w:p w:rsidR="00E8424A" w:rsidRDefault="00E8424A" w:rsidP="003E36C6">
      <w:pPr>
        <w:pStyle w:val="Textkomentra"/>
        <w:rPr>
          <w:rFonts w:ascii="Times New Roman" w:hAnsi="Times New Roman"/>
          <w:sz w:val="24"/>
          <w:szCs w:val="24"/>
        </w:rPr>
      </w:pPr>
    </w:p>
    <w:p w:rsidR="00F55B1F" w:rsidRP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  <w:r w:rsidRPr="00F55B1F">
        <w:rPr>
          <w:rFonts w:ascii="Times New Roman" w:hAnsi="Times New Roman"/>
          <w:b/>
          <w:sz w:val="24"/>
          <w:szCs w:val="24"/>
        </w:rPr>
        <w:t>K bodu 11</w:t>
      </w:r>
    </w:p>
    <w:p w:rsidR="00F55B1F" w:rsidRP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</w:p>
    <w:p w:rsidR="00F55B1F" w:rsidRPr="00BC7E19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BC7E19">
        <w:rPr>
          <w:rFonts w:ascii="Times New Roman" w:hAnsi="Times New Roman"/>
          <w:sz w:val="24"/>
          <w:szCs w:val="24"/>
        </w:rPr>
        <w:t>Legislatívno-technická úprava.</w:t>
      </w:r>
    </w:p>
    <w:p w:rsidR="009C4640" w:rsidRPr="001925A4" w:rsidRDefault="009C4640" w:rsidP="00B1736B">
      <w:pPr>
        <w:pStyle w:val="Textkomentra"/>
        <w:rPr>
          <w:rFonts w:ascii="Times New Roman" w:hAnsi="Times New Roman"/>
          <w:sz w:val="24"/>
          <w:szCs w:val="24"/>
        </w:rPr>
      </w:pPr>
    </w:p>
    <w:p w:rsidR="002075CD" w:rsidRPr="002075CD" w:rsidRDefault="002075CD" w:rsidP="00A344B2">
      <w:pPr>
        <w:pStyle w:val="Textkomentra"/>
        <w:ind w:left="709" w:hanging="709"/>
        <w:rPr>
          <w:rFonts w:ascii="Times New Roman" w:hAnsi="Times New Roman"/>
          <w:color w:val="FF0000"/>
          <w:sz w:val="24"/>
          <w:szCs w:val="24"/>
        </w:rPr>
      </w:pPr>
    </w:p>
    <w:p w:rsidR="00F55B1F" w:rsidRDefault="00F55B1F" w:rsidP="008E5E06">
      <w:pPr>
        <w:pStyle w:val="Textkomentra"/>
        <w:rPr>
          <w:rFonts w:ascii="Times New Roman" w:hAnsi="Times New Roman"/>
          <w:b/>
          <w:sz w:val="24"/>
          <w:szCs w:val="24"/>
        </w:rPr>
      </w:pPr>
    </w:p>
    <w:p w:rsidR="00F55B1F" w:rsidRDefault="00F55B1F" w:rsidP="00F55B1F">
      <w:pPr>
        <w:jc w:val="center"/>
      </w:pPr>
    </w:p>
    <w:p w:rsidR="00F55B1F" w:rsidRPr="00F55B1F" w:rsidRDefault="00F55B1F" w:rsidP="00F55B1F">
      <w:pPr>
        <w:jc w:val="center"/>
      </w:pPr>
    </w:p>
    <w:p w:rsidR="00B53CAA" w:rsidRPr="00683888" w:rsidRDefault="00B53CAA" w:rsidP="008E5E06">
      <w:pPr>
        <w:pStyle w:val="Textkomentra"/>
        <w:rPr>
          <w:rFonts w:ascii="Times New Roman" w:hAnsi="Times New Roman"/>
          <w:b/>
          <w:sz w:val="24"/>
          <w:szCs w:val="24"/>
        </w:rPr>
      </w:pPr>
      <w:r w:rsidRPr="00683888">
        <w:rPr>
          <w:rFonts w:ascii="Times New Roman" w:hAnsi="Times New Roman"/>
          <w:b/>
          <w:sz w:val="24"/>
          <w:szCs w:val="24"/>
        </w:rPr>
        <w:t>K bodu 1</w:t>
      </w:r>
      <w:r w:rsidR="00F55B1F">
        <w:rPr>
          <w:rFonts w:ascii="Times New Roman" w:hAnsi="Times New Roman"/>
          <w:b/>
          <w:sz w:val="24"/>
          <w:szCs w:val="24"/>
        </w:rPr>
        <w:t>2</w:t>
      </w:r>
    </w:p>
    <w:p w:rsidR="003E36C6" w:rsidRPr="00F55B1F" w:rsidRDefault="00DB59CF" w:rsidP="00AA0D25">
      <w:pPr>
        <w:pStyle w:val="Textkomentra"/>
        <w:rPr>
          <w:rFonts w:ascii="Times New Roman" w:hAnsi="Times New Roman"/>
          <w:b/>
          <w:sz w:val="24"/>
          <w:szCs w:val="24"/>
        </w:rPr>
      </w:pPr>
      <w:r w:rsidRPr="00F55B1F">
        <w:rPr>
          <w:rFonts w:ascii="Times New Roman" w:hAnsi="Times New Roman"/>
          <w:sz w:val="24"/>
          <w:szCs w:val="24"/>
        </w:rPr>
        <w:t xml:space="preserve">Precizuje </w:t>
      </w:r>
      <w:r w:rsidR="003E36C6" w:rsidRPr="00F55B1F">
        <w:rPr>
          <w:rFonts w:ascii="Times New Roman" w:hAnsi="Times New Roman"/>
          <w:sz w:val="24"/>
          <w:szCs w:val="24"/>
        </w:rPr>
        <w:t xml:space="preserve">sa povinnosť </w:t>
      </w:r>
      <w:r w:rsidR="00F55B1F">
        <w:rPr>
          <w:rFonts w:ascii="Times New Roman" w:hAnsi="Times New Roman"/>
          <w:sz w:val="24"/>
          <w:szCs w:val="24"/>
        </w:rPr>
        <w:t xml:space="preserve">pre </w:t>
      </w:r>
      <w:r w:rsidR="00AF2B6B" w:rsidRPr="00F55B1F">
        <w:rPr>
          <w:rFonts w:ascii="Times New Roman" w:hAnsi="Times New Roman"/>
          <w:sz w:val="24"/>
          <w:szCs w:val="24"/>
        </w:rPr>
        <w:t>nájomcu viesť evidenciu pozemkov, ktoré vlastní a</w:t>
      </w:r>
      <w:r w:rsidR="00D61CC2" w:rsidRPr="00F55B1F">
        <w:rPr>
          <w:rFonts w:ascii="Times New Roman" w:hAnsi="Times New Roman"/>
          <w:sz w:val="24"/>
          <w:szCs w:val="24"/>
        </w:rPr>
        <w:t>lebo</w:t>
      </w:r>
      <w:r w:rsidR="00AF2B6B" w:rsidRPr="00F55B1F">
        <w:rPr>
          <w:rFonts w:ascii="Times New Roman" w:hAnsi="Times New Roman"/>
          <w:sz w:val="24"/>
          <w:szCs w:val="24"/>
        </w:rPr>
        <w:t> má prenajaté</w:t>
      </w:r>
      <w:r w:rsidR="00D61CC2" w:rsidRPr="00F55B1F">
        <w:rPr>
          <w:rFonts w:ascii="Times New Roman" w:hAnsi="Times New Roman"/>
          <w:sz w:val="24"/>
          <w:szCs w:val="24"/>
        </w:rPr>
        <w:t xml:space="preserve"> a pozemkov, ktoré obhospodaruje</w:t>
      </w:r>
      <w:r w:rsidR="00AF2B6B" w:rsidRPr="00F55B1F">
        <w:rPr>
          <w:rFonts w:ascii="Times New Roman" w:hAnsi="Times New Roman"/>
          <w:sz w:val="24"/>
          <w:szCs w:val="24"/>
        </w:rPr>
        <w:t xml:space="preserve">, </w:t>
      </w:r>
      <w:r w:rsidRPr="00F55B1F">
        <w:rPr>
          <w:rFonts w:ascii="Times New Roman" w:hAnsi="Times New Roman"/>
          <w:sz w:val="24"/>
          <w:szCs w:val="24"/>
        </w:rPr>
        <w:t xml:space="preserve">ako aj </w:t>
      </w:r>
      <w:r w:rsidR="00AF2B6B" w:rsidRPr="00F55B1F">
        <w:rPr>
          <w:rFonts w:ascii="Times New Roman" w:hAnsi="Times New Roman"/>
          <w:sz w:val="24"/>
          <w:szCs w:val="24"/>
        </w:rPr>
        <w:t>povinnosť viesť a uchovávať evidenciu o dohodnutom a zaplatenom nájomnom.</w:t>
      </w:r>
      <w:r w:rsidR="00AA0D25" w:rsidRPr="00F55B1F">
        <w:rPr>
          <w:rFonts w:ascii="Times New Roman" w:hAnsi="Times New Roman"/>
          <w:sz w:val="24"/>
          <w:szCs w:val="24"/>
        </w:rPr>
        <w:t xml:space="preserve"> I</w:t>
      </w:r>
      <w:r w:rsidR="00AF2B6B" w:rsidRPr="00F55B1F">
        <w:rPr>
          <w:rFonts w:ascii="Times New Roman" w:hAnsi="Times New Roman"/>
          <w:sz w:val="24"/>
          <w:szCs w:val="24"/>
        </w:rPr>
        <w:t>nformácie</w:t>
      </w:r>
      <w:r w:rsidRPr="00F55B1F">
        <w:rPr>
          <w:rFonts w:ascii="Times New Roman" w:hAnsi="Times New Roman"/>
          <w:sz w:val="24"/>
          <w:szCs w:val="24"/>
        </w:rPr>
        <w:t xml:space="preserve"> z </w:t>
      </w:r>
      <w:r w:rsidR="00AA0D25" w:rsidRPr="00F55B1F">
        <w:rPr>
          <w:rFonts w:ascii="Times New Roman" w:hAnsi="Times New Roman"/>
          <w:sz w:val="24"/>
          <w:szCs w:val="24"/>
        </w:rPr>
        <w:t xml:space="preserve">takto </w:t>
      </w:r>
      <w:r w:rsidR="00AA0D25">
        <w:rPr>
          <w:rFonts w:ascii="Times New Roman" w:hAnsi="Times New Roman"/>
          <w:sz w:val="24"/>
          <w:szCs w:val="24"/>
        </w:rPr>
        <w:t>evidovaných údajo</w:t>
      </w:r>
      <w:r w:rsidR="00D61CC2">
        <w:rPr>
          <w:rFonts w:ascii="Times New Roman" w:hAnsi="Times New Roman"/>
          <w:sz w:val="24"/>
          <w:szCs w:val="24"/>
        </w:rPr>
        <w:t>v</w:t>
      </w:r>
      <w:r w:rsidR="00AA0D25">
        <w:rPr>
          <w:rFonts w:ascii="Times New Roman" w:hAnsi="Times New Roman"/>
          <w:sz w:val="24"/>
          <w:szCs w:val="24"/>
        </w:rPr>
        <w:t xml:space="preserve"> budú pre potreby zavedenia väčšej prehľadnosti slúžiť pre rozhodovanie okresných úradov napr. v prípadoch určenia vydania rozhodnutia o vzniku podnájomného vzťahu,  </w:t>
      </w:r>
      <w:r w:rsidRPr="00F55B1F">
        <w:rPr>
          <w:rFonts w:ascii="Times New Roman" w:hAnsi="Times New Roman"/>
          <w:sz w:val="24"/>
          <w:szCs w:val="24"/>
        </w:rPr>
        <w:t xml:space="preserve">zverejňovanie obvyklej výšky nájomného, </w:t>
      </w:r>
      <w:r w:rsidR="00AA0D25" w:rsidRPr="00F55B1F">
        <w:rPr>
          <w:rFonts w:ascii="Times New Roman" w:hAnsi="Times New Roman"/>
          <w:sz w:val="24"/>
          <w:szCs w:val="24"/>
        </w:rPr>
        <w:t xml:space="preserve">ako aj Pôdohospodárskej platobnej agentúry v súvislosti s prideľovaním dotácií.  </w:t>
      </w:r>
      <w:r w:rsidR="00D662D8" w:rsidRPr="00F55B1F">
        <w:rPr>
          <w:rFonts w:ascii="Times New Roman" w:hAnsi="Times New Roman"/>
          <w:sz w:val="24"/>
          <w:szCs w:val="24"/>
        </w:rPr>
        <w:t>Podrobnosti o spôsobe vedenia týchto evidencií ako aj o spôsobe výpočtu a zverejňovania obvyklej výšky nájomného budú upravené vo vyhláške MPRV SR č. 249/2008 Z. z.</w:t>
      </w:r>
      <w:r w:rsidR="005F06D0" w:rsidRPr="00F55B1F">
        <w:rPr>
          <w:rFonts w:ascii="Times New Roman" w:hAnsi="Times New Roman"/>
          <w:sz w:val="24"/>
          <w:szCs w:val="24"/>
        </w:rPr>
        <w:t>,</w:t>
      </w:r>
      <w:r w:rsidR="00C44C95">
        <w:rPr>
          <w:rFonts w:ascii="Times New Roman" w:hAnsi="Times New Roman"/>
          <w:sz w:val="24"/>
          <w:szCs w:val="24"/>
        </w:rPr>
        <w:t xml:space="preserve"> </w:t>
      </w:r>
      <w:r w:rsidR="00D662D8" w:rsidRPr="00F55B1F">
        <w:rPr>
          <w:rFonts w:ascii="Times New Roman" w:hAnsi="Times New Roman"/>
          <w:sz w:val="24"/>
          <w:szCs w:val="24"/>
        </w:rPr>
        <w:t>ktorou sa ustanovujú podrobnosti o spôsobe vedenia evidencie pozemkov</w:t>
      </w:r>
      <w:r w:rsidR="005F06D0" w:rsidRPr="00F55B1F">
        <w:rPr>
          <w:rFonts w:ascii="Times New Roman" w:hAnsi="Times New Roman"/>
          <w:sz w:val="24"/>
          <w:szCs w:val="24"/>
        </w:rPr>
        <w:t>. Novela tiež určuje, aké druhy evidencií o právnych vzťahoch k pozemkom budú viesť okresné úrady.</w:t>
      </w:r>
    </w:p>
    <w:p w:rsid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</w:p>
    <w:p w:rsidR="00F55B1F" w:rsidRP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  <w:r w:rsidRPr="00F55B1F"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55B1F" w:rsidRP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</w:p>
    <w:p w:rsidR="00F55B1F" w:rsidRP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F55B1F">
        <w:rPr>
          <w:rFonts w:ascii="Times New Roman" w:hAnsi="Times New Roman"/>
          <w:sz w:val="24"/>
          <w:szCs w:val="24"/>
        </w:rPr>
        <w:t>Legislatívno-technická úprava.</w:t>
      </w:r>
    </w:p>
    <w:p w:rsid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b/>
          <w:sz w:val="24"/>
          <w:szCs w:val="24"/>
        </w:rPr>
      </w:pPr>
    </w:p>
    <w:p w:rsidR="008E5E06" w:rsidRDefault="008E5E06" w:rsidP="00617D43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683888">
        <w:rPr>
          <w:rFonts w:ascii="Times New Roman" w:hAnsi="Times New Roman"/>
          <w:b/>
          <w:sz w:val="24"/>
          <w:szCs w:val="24"/>
        </w:rPr>
        <w:t xml:space="preserve">K bodu </w:t>
      </w:r>
      <w:r w:rsidR="00DA48B6" w:rsidRPr="00683888">
        <w:rPr>
          <w:rFonts w:ascii="Times New Roman" w:hAnsi="Times New Roman"/>
          <w:b/>
          <w:sz w:val="24"/>
          <w:szCs w:val="24"/>
        </w:rPr>
        <w:t>1</w:t>
      </w:r>
      <w:r w:rsidR="00F55B1F">
        <w:rPr>
          <w:rFonts w:ascii="Times New Roman" w:hAnsi="Times New Roman"/>
          <w:b/>
          <w:sz w:val="24"/>
          <w:szCs w:val="24"/>
        </w:rPr>
        <w:t>4</w:t>
      </w:r>
    </w:p>
    <w:p w:rsidR="003E36C6" w:rsidRPr="003E36C6" w:rsidRDefault="00AF2B6B" w:rsidP="00617D43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sz w:val="24"/>
          <w:szCs w:val="24"/>
        </w:rPr>
      </w:pPr>
      <w:r w:rsidRPr="00683888">
        <w:rPr>
          <w:rFonts w:ascii="Times New Roman" w:hAnsi="Times New Roman"/>
          <w:sz w:val="24"/>
          <w:szCs w:val="24"/>
        </w:rPr>
        <w:t xml:space="preserve">Ustanovuje sa </w:t>
      </w:r>
      <w:r>
        <w:rPr>
          <w:rFonts w:ascii="Times New Roman" w:hAnsi="Times New Roman"/>
          <w:sz w:val="24"/>
          <w:szCs w:val="24"/>
        </w:rPr>
        <w:t>postup pri neukončených konaniach podľa doterajšieho zákona.</w:t>
      </w:r>
    </w:p>
    <w:p w:rsidR="003E36C6" w:rsidRDefault="003E36C6" w:rsidP="008E5E06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E06" w:rsidRPr="00683888" w:rsidRDefault="008E5E06" w:rsidP="008E5E06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B6B" w:rsidRPr="00683888" w:rsidRDefault="00AF2B6B" w:rsidP="00F55B1F">
      <w:pPr>
        <w:pStyle w:val="Parods"/>
        <w:numPr>
          <w:ilvl w:val="0"/>
          <w:numId w:val="0"/>
        </w:numPr>
        <w:tabs>
          <w:tab w:val="left" w:pos="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</w:t>
      </w:r>
      <w:r w:rsidRPr="00683888">
        <w:rPr>
          <w:rFonts w:ascii="Times New Roman" w:hAnsi="Times New Roman"/>
          <w:b/>
        </w:rPr>
        <w:t>Čl. II</w:t>
      </w:r>
    </w:p>
    <w:p w:rsidR="00F55B1F" w:rsidRDefault="00F55B1F" w:rsidP="00AF2B6B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AF2B6B" w:rsidRDefault="00AF2B6B" w:rsidP="00AF2B6B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F55B1F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sz w:val="24"/>
          <w:szCs w:val="24"/>
        </w:rPr>
      </w:pPr>
    </w:p>
    <w:p w:rsidR="00F55B1F" w:rsidRPr="00BC7E19" w:rsidRDefault="00F55B1F" w:rsidP="00F55B1F">
      <w:pPr>
        <w:pStyle w:val="Parods"/>
        <w:numPr>
          <w:ilvl w:val="0"/>
          <w:numId w:val="0"/>
        </w:numPr>
        <w:tabs>
          <w:tab w:val="left" w:pos="426"/>
        </w:tabs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F55B1F">
        <w:rPr>
          <w:rFonts w:ascii="Times New Roman" w:hAnsi="Times New Roman"/>
          <w:sz w:val="24"/>
          <w:szCs w:val="24"/>
        </w:rPr>
        <w:t xml:space="preserve"> </w:t>
      </w:r>
      <w:r w:rsidRPr="00BC7E19">
        <w:rPr>
          <w:rFonts w:ascii="Times New Roman" w:hAnsi="Times New Roman"/>
          <w:sz w:val="24"/>
          <w:szCs w:val="24"/>
        </w:rPr>
        <w:t>Legislatívno-technická úprava.</w:t>
      </w:r>
    </w:p>
    <w:p w:rsidR="00AF2B6B" w:rsidRPr="007B384A" w:rsidRDefault="00AF2B6B" w:rsidP="00AF2B6B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F55B1F" w:rsidRDefault="00F55B1F" w:rsidP="00AF2B6B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</w:rPr>
      </w:pPr>
    </w:p>
    <w:p w:rsidR="00B53CAA" w:rsidRPr="00683888" w:rsidRDefault="00DC2B07" w:rsidP="00AF2B6B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</w:t>
      </w:r>
      <w:r w:rsidR="00B53CAA" w:rsidRPr="00683888">
        <w:rPr>
          <w:rFonts w:ascii="Times New Roman" w:hAnsi="Times New Roman"/>
          <w:b/>
        </w:rPr>
        <w:t>Čl. II</w:t>
      </w:r>
      <w:r w:rsidR="00AF2B6B">
        <w:rPr>
          <w:rFonts w:ascii="Times New Roman" w:hAnsi="Times New Roman"/>
          <w:b/>
        </w:rPr>
        <w:t>I</w:t>
      </w:r>
    </w:p>
    <w:p w:rsidR="00AF2B6B" w:rsidRDefault="00AF2B6B" w:rsidP="00B53CAA">
      <w:pPr>
        <w:rPr>
          <w:rFonts w:ascii="Times New Roman" w:hAnsi="Times New Roman" w:cs="Times New Roman"/>
          <w:b/>
        </w:rPr>
      </w:pPr>
    </w:p>
    <w:p w:rsidR="00B53CAA" w:rsidRPr="00683888" w:rsidRDefault="00B53CAA" w:rsidP="00B53CAA">
      <w:pPr>
        <w:rPr>
          <w:rFonts w:ascii="Times New Roman" w:hAnsi="Times New Roman" w:cs="Times New Roman"/>
          <w:b/>
        </w:rPr>
      </w:pPr>
      <w:r w:rsidRPr="00683888">
        <w:rPr>
          <w:rFonts w:ascii="Times New Roman" w:hAnsi="Times New Roman" w:cs="Times New Roman"/>
          <w:b/>
        </w:rPr>
        <w:t>K bodu 1</w:t>
      </w:r>
    </w:p>
    <w:p w:rsidR="00F55B1F" w:rsidRPr="00F55B1F" w:rsidRDefault="00B53CAA" w:rsidP="00F5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5B1F">
        <w:rPr>
          <w:rFonts w:ascii="Times New Roman" w:hAnsi="Times New Roman" w:cs="Times New Roman"/>
          <w:sz w:val="24"/>
          <w:szCs w:val="24"/>
        </w:rPr>
        <w:t xml:space="preserve">Účinnosť sa navrhuje od </w:t>
      </w:r>
      <w:r w:rsidR="00B75933" w:rsidRPr="00F55B1F">
        <w:rPr>
          <w:rFonts w:ascii="Times New Roman" w:hAnsi="Times New Roman" w:cs="Times New Roman"/>
          <w:sz w:val="24"/>
          <w:szCs w:val="24"/>
        </w:rPr>
        <w:t>1. mája</w:t>
      </w:r>
      <w:r w:rsidR="00683888" w:rsidRPr="00F55B1F">
        <w:rPr>
          <w:rFonts w:ascii="Times New Roman" w:hAnsi="Times New Roman" w:cs="Times New Roman"/>
          <w:sz w:val="24"/>
          <w:szCs w:val="24"/>
        </w:rPr>
        <w:t xml:space="preserve"> 2018</w:t>
      </w:r>
      <w:r w:rsidR="00F55B1F" w:rsidRPr="00F55B1F">
        <w:rPr>
          <w:rFonts w:ascii="Times New Roman" w:hAnsi="Times New Roman" w:cs="Times New Roman"/>
          <w:sz w:val="24"/>
          <w:szCs w:val="24"/>
        </w:rPr>
        <w:t>,</w:t>
      </w:r>
      <w:r w:rsidR="00F55B1F" w:rsidRPr="00F55B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okrem Čl. II, ktorý nadobudne účinnosť 31. decembra 2017.</w:t>
      </w:r>
    </w:p>
    <w:p w:rsidR="00A15034" w:rsidRPr="00DF479A" w:rsidRDefault="00B53CAA" w:rsidP="00DF479A">
      <w:pPr>
        <w:pStyle w:val="odsek"/>
        <w:rPr>
          <w:rFonts w:ascii="Times New Roman" w:eastAsia="MS Mincho" w:hAnsi="Times New Roman" w:cs="Times New Roman"/>
          <w:lang w:eastAsia="cs-CZ"/>
        </w:rPr>
      </w:pPr>
      <w:r w:rsidRPr="00683888">
        <w:rPr>
          <w:rFonts w:ascii="Times New Roman" w:hAnsi="Times New Roman" w:cs="Times New Roman"/>
        </w:rPr>
        <w:t xml:space="preserve"> </w:t>
      </w:r>
    </w:p>
    <w:sectPr w:rsidR="00A15034" w:rsidRPr="00DF479A" w:rsidSect="00907809">
      <w:footerReference w:type="default" r:id="rId10"/>
      <w:footnotePr>
        <w:numFmt w:val="lowerLetter"/>
      </w:footnotePr>
      <w:pgSz w:w="11906" w:h="16838"/>
      <w:pgMar w:top="1417" w:right="1417" w:bottom="851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80" w:rsidRDefault="00C85580" w:rsidP="002D7DBB">
      <w:pPr>
        <w:spacing w:after="0" w:line="240" w:lineRule="auto"/>
      </w:pPr>
      <w:r>
        <w:separator/>
      </w:r>
    </w:p>
  </w:endnote>
  <w:endnote w:type="continuationSeparator" w:id="0">
    <w:p w:rsidR="00C85580" w:rsidRDefault="00C85580" w:rsidP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38044"/>
      <w:docPartObj>
        <w:docPartGallery w:val="Page Numbers (Bottom of Page)"/>
        <w:docPartUnique/>
      </w:docPartObj>
    </w:sdtPr>
    <w:sdtEndPr/>
    <w:sdtContent>
      <w:p w:rsidR="00DE1356" w:rsidRDefault="00A73C03">
        <w:pPr>
          <w:pStyle w:val="Pta"/>
          <w:jc w:val="center"/>
        </w:pPr>
        <w:r w:rsidRPr="00F55B1F">
          <w:rPr>
            <w:rFonts w:ascii="Times New Roman" w:hAnsi="Times New Roman" w:cs="Times New Roman"/>
          </w:rPr>
          <w:fldChar w:fldCharType="begin"/>
        </w:r>
        <w:r w:rsidR="00F93732" w:rsidRPr="00F55B1F">
          <w:rPr>
            <w:rFonts w:ascii="Times New Roman" w:hAnsi="Times New Roman" w:cs="Times New Roman"/>
          </w:rPr>
          <w:instrText>PAGE   \* MERGEFORMAT</w:instrText>
        </w:r>
        <w:r w:rsidRPr="00F55B1F">
          <w:rPr>
            <w:rFonts w:ascii="Times New Roman" w:hAnsi="Times New Roman" w:cs="Times New Roman"/>
          </w:rPr>
          <w:fldChar w:fldCharType="separate"/>
        </w:r>
        <w:r w:rsidR="00211C79">
          <w:rPr>
            <w:rFonts w:ascii="Times New Roman" w:hAnsi="Times New Roman" w:cs="Times New Roman"/>
            <w:noProof/>
          </w:rPr>
          <w:t>21</w:t>
        </w:r>
        <w:r w:rsidRPr="00F55B1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1356" w:rsidRDefault="00DE13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80" w:rsidRDefault="00C85580" w:rsidP="002D7DBB">
      <w:pPr>
        <w:spacing w:after="0" w:line="240" w:lineRule="auto"/>
      </w:pPr>
      <w:r>
        <w:separator/>
      </w:r>
    </w:p>
  </w:footnote>
  <w:footnote w:type="continuationSeparator" w:id="0">
    <w:p w:rsidR="00C85580" w:rsidRDefault="00C85580" w:rsidP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79"/>
    <w:multiLevelType w:val="hybridMultilevel"/>
    <w:tmpl w:val="C0563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84"/>
    <w:multiLevelType w:val="hybridMultilevel"/>
    <w:tmpl w:val="EAFE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AC7"/>
    <w:multiLevelType w:val="hybridMultilevel"/>
    <w:tmpl w:val="6C0C9D8E"/>
    <w:lvl w:ilvl="0" w:tplc="D3363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B18"/>
    <w:multiLevelType w:val="hybridMultilevel"/>
    <w:tmpl w:val="D67AC87E"/>
    <w:lvl w:ilvl="0" w:tplc="BDF264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65E55"/>
    <w:multiLevelType w:val="hybridMultilevel"/>
    <w:tmpl w:val="64D6F21E"/>
    <w:lvl w:ilvl="0" w:tplc="67E07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4DBC"/>
    <w:multiLevelType w:val="hybridMultilevel"/>
    <w:tmpl w:val="ED821296"/>
    <w:lvl w:ilvl="0" w:tplc="A5E4C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4AF0"/>
    <w:multiLevelType w:val="hybridMultilevel"/>
    <w:tmpl w:val="1DE67C4E"/>
    <w:lvl w:ilvl="0" w:tplc="32962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2C26"/>
    <w:multiLevelType w:val="hybridMultilevel"/>
    <w:tmpl w:val="1D14D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4374"/>
    <w:multiLevelType w:val="hybridMultilevel"/>
    <w:tmpl w:val="E36ADB8A"/>
    <w:lvl w:ilvl="0" w:tplc="041B000F">
      <w:start w:val="1"/>
      <w:numFmt w:val="decimal"/>
      <w:lvlText w:val="%1."/>
      <w:lvlJc w:val="left"/>
      <w:pPr>
        <w:ind w:left="1214" w:hanging="360"/>
      </w:pPr>
    </w:lvl>
    <w:lvl w:ilvl="1" w:tplc="041B0019" w:tentative="1">
      <w:start w:val="1"/>
      <w:numFmt w:val="lowerLetter"/>
      <w:lvlText w:val="%2."/>
      <w:lvlJc w:val="left"/>
      <w:pPr>
        <w:ind w:left="1934" w:hanging="360"/>
      </w:pPr>
    </w:lvl>
    <w:lvl w:ilvl="2" w:tplc="041B001B" w:tentative="1">
      <w:start w:val="1"/>
      <w:numFmt w:val="lowerRoman"/>
      <w:lvlText w:val="%3."/>
      <w:lvlJc w:val="right"/>
      <w:pPr>
        <w:ind w:left="2654" w:hanging="180"/>
      </w:pPr>
    </w:lvl>
    <w:lvl w:ilvl="3" w:tplc="041B000F" w:tentative="1">
      <w:start w:val="1"/>
      <w:numFmt w:val="decimal"/>
      <w:lvlText w:val="%4."/>
      <w:lvlJc w:val="left"/>
      <w:pPr>
        <w:ind w:left="3374" w:hanging="360"/>
      </w:pPr>
    </w:lvl>
    <w:lvl w:ilvl="4" w:tplc="041B0019" w:tentative="1">
      <w:start w:val="1"/>
      <w:numFmt w:val="lowerLetter"/>
      <w:lvlText w:val="%5."/>
      <w:lvlJc w:val="left"/>
      <w:pPr>
        <w:ind w:left="4094" w:hanging="360"/>
      </w:pPr>
    </w:lvl>
    <w:lvl w:ilvl="5" w:tplc="041B001B" w:tentative="1">
      <w:start w:val="1"/>
      <w:numFmt w:val="lowerRoman"/>
      <w:lvlText w:val="%6."/>
      <w:lvlJc w:val="right"/>
      <w:pPr>
        <w:ind w:left="4814" w:hanging="180"/>
      </w:pPr>
    </w:lvl>
    <w:lvl w:ilvl="6" w:tplc="041B000F" w:tentative="1">
      <w:start w:val="1"/>
      <w:numFmt w:val="decimal"/>
      <w:lvlText w:val="%7."/>
      <w:lvlJc w:val="left"/>
      <w:pPr>
        <w:ind w:left="5534" w:hanging="360"/>
      </w:pPr>
    </w:lvl>
    <w:lvl w:ilvl="7" w:tplc="041B0019" w:tentative="1">
      <w:start w:val="1"/>
      <w:numFmt w:val="lowerLetter"/>
      <w:lvlText w:val="%8."/>
      <w:lvlJc w:val="left"/>
      <w:pPr>
        <w:ind w:left="6254" w:hanging="360"/>
      </w:pPr>
    </w:lvl>
    <w:lvl w:ilvl="8" w:tplc="041B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ED55B7D"/>
    <w:multiLevelType w:val="hybridMultilevel"/>
    <w:tmpl w:val="4950D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5FC4"/>
    <w:multiLevelType w:val="hybridMultilevel"/>
    <w:tmpl w:val="B694F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0FFB"/>
    <w:multiLevelType w:val="hybridMultilevel"/>
    <w:tmpl w:val="7BE0B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04FF"/>
    <w:multiLevelType w:val="hybridMultilevel"/>
    <w:tmpl w:val="DE308BE0"/>
    <w:lvl w:ilvl="0" w:tplc="08424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AD1"/>
    <w:multiLevelType w:val="hybridMultilevel"/>
    <w:tmpl w:val="5F66215E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698"/>
    <w:multiLevelType w:val="hybridMultilevel"/>
    <w:tmpl w:val="C59CA4CC"/>
    <w:lvl w:ilvl="0" w:tplc="0CDE1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2D4"/>
    <w:multiLevelType w:val="hybridMultilevel"/>
    <w:tmpl w:val="86D6646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560BD"/>
    <w:multiLevelType w:val="multilevel"/>
    <w:tmpl w:val="0FBA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41223"/>
    <w:multiLevelType w:val="hybridMultilevel"/>
    <w:tmpl w:val="46187236"/>
    <w:lvl w:ilvl="0" w:tplc="3F24D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7116"/>
    <w:multiLevelType w:val="hybridMultilevel"/>
    <w:tmpl w:val="6344A222"/>
    <w:lvl w:ilvl="0" w:tplc="041B000F">
      <w:start w:val="1"/>
      <w:numFmt w:val="decimal"/>
      <w:lvlText w:val="%1."/>
      <w:lvlJc w:val="left"/>
      <w:pPr>
        <w:ind w:left="1214" w:hanging="360"/>
      </w:pPr>
    </w:lvl>
    <w:lvl w:ilvl="1" w:tplc="041B0019" w:tentative="1">
      <w:start w:val="1"/>
      <w:numFmt w:val="lowerLetter"/>
      <w:lvlText w:val="%2."/>
      <w:lvlJc w:val="left"/>
      <w:pPr>
        <w:ind w:left="1934" w:hanging="360"/>
      </w:pPr>
    </w:lvl>
    <w:lvl w:ilvl="2" w:tplc="041B001B" w:tentative="1">
      <w:start w:val="1"/>
      <w:numFmt w:val="lowerRoman"/>
      <w:lvlText w:val="%3."/>
      <w:lvlJc w:val="right"/>
      <w:pPr>
        <w:ind w:left="2654" w:hanging="180"/>
      </w:pPr>
    </w:lvl>
    <w:lvl w:ilvl="3" w:tplc="041B000F" w:tentative="1">
      <w:start w:val="1"/>
      <w:numFmt w:val="decimal"/>
      <w:lvlText w:val="%4."/>
      <w:lvlJc w:val="left"/>
      <w:pPr>
        <w:ind w:left="3374" w:hanging="360"/>
      </w:pPr>
    </w:lvl>
    <w:lvl w:ilvl="4" w:tplc="041B0019" w:tentative="1">
      <w:start w:val="1"/>
      <w:numFmt w:val="lowerLetter"/>
      <w:lvlText w:val="%5."/>
      <w:lvlJc w:val="left"/>
      <w:pPr>
        <w:ind w:left="4094" w:hanging="360"/>
      </w:pPr>
    </w:lvl>
    <w:lvl w:ilvl="5" w:tplc="041B001B" w:tentative="1">
      <w:start w:val="1"/>
      <w:numFmt w:val="lowerRoman"/>
      <w:lvlText w:val="%6."/>
      <w:lvlJc w:val="right"/>
      <w:pPr>
        <w:ind w:left="4814" w:hanging="180"/>
      </w:pPr>
    </w:lvl>
    <w:lvl w:ilvl="6" w:tplc="041B000F" w:tentative="1">
      <w:start w:val="1"/>
      <w:numFmt w:val="decimal"/>
      <w:lvlText w:val="%7."/>
      <w:lvlJc w:val="left"/>
      <w:pPr>
        <w:ind w:left="5534" w:hanging="360"/>
      </w:pPr>
    </w:lvl>
    <w:lvl w:ilvl="7" w:tplc="041B0019" w:tentative="1">
      <w:start w:val="1"/>
      <w:numFmt w:val="lowerLetter"/>
      <w:lvlText w:val="%8."/>
      <w:lvlJc w:val="left"/>
      <w:pPr>
        <w:ind w:left="6254" w:hanging="360"/>
      </w:pPr>
    </w:lvl>
    <w:lvl w:ilvl="8" w:tplc="041B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9">
    <w:nsid w:val="4E072ED6"/>
    <w:multiLevelType w:val="hybridMultilevel"/>
    <w:tmpl w:val="E8D4C8B8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F2F50"/>
    <w:multiLevelType w:val="hybridMultilevel"/>
    <w:tmpl w:val="9948E9F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330C"/>
    <w:multiLevelType w:val="hybridMultilevel"/>
    <w:tmpl w:val="64D6F21E"/>
    <w:lvl w:ilvl="0" w:tplc="67E07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807C0"/>
    <w:multiLevelType w:val="hybridMultilevel"/>
    <w:tmpl w:val="1F4AC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B3028"/>
    <w:multiLevelType w:val="hybridMultilevel"/>
    <w:tmpl w:val="370EA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6908"/>
    <w:multiLevelType w:val="hybridMultilevel"/>
    <w:tmpl w:val="A71E92F0"/>
    <w:lvl w:ilvl="0" w:tplc="BDA26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897A1E"/>
    <w:multiLevelType w:val="hybridMultilevel"/>
    <w:tmpl w:val="6D7A5898"/>
    <w:lvl w:ilvl="0" w:tplc="7E3C6538">
      <w:start w:val="1"/>
      <w:numFmt w:val="decimal"/>
      <w:lvlText w:val="%1."/>
      <w:lvlJc w:val="left"/>
      <w:pPr>
        <w:ind w:left="1495" w:hanging="360"/>
      </w:pPr>
      <w:rPr>
        <w:rFonts w:ascii="Times" w:eastAsia="Times New Roman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FA50C7E"/>
    <w:multiLevelType w:val="hybridMultilevel"/>
    <w:tmpl w:val="F7C6E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A3292"/>
    <w:multiLevelType w:val="hybridMultilevel"/>
    <w:tmpl w:val="B47A4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4594"/>
    <w:multiLevelType w:val="hybridMultilevel"/>
    <w:tmpl w:val="F0C0BBC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B37060"/>
    <w:multiLevelType w:val="hybridMultilevel"/>
    <w:tmpl w:val="AD3EB0DE"/>
    <w:lvl w:ilvl="0" w:tplc="EF3EA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21376"/>
    <w:multiLevelType w:val="hybridMultilevel"/>
    <w:tmpl w:val="3D8EC372"/>
    <w:lvl w:ilvl="0" w:tplc="041B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1">
    <w:nsid w:val="6E3D5FC5"/>
    <w:multiLevelType w:val="hybridMultilevel"/>
    <w:tmpl w:val="3102757A"/>
    <w:lvl w:ilvl="0" w:tplc="732CC5F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27C64"/>
    <w:multiLevelType w:val="hybridMultilevel"/>
    <w:tmpl w:val="3046572E"/>
    <w:lvl w:ilvl="0" w:tplc="D88AB492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11504E3"/>
    <w:multiLevelType w:val="hybridMultilevel"/>
    <w:tmpl w:val="3D58E75E"/>
    <w:lvl w:ilvl="0" w:tplc="915CE6A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2A60B41"/>
    <w:multiLevelType w:val="hybridMultilevel"/>
    <w:tmpl w:val="C01ED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70A32"/>
    <w:multiLevelType w:val="hybridMultilevel"/>
    <w:tmpl w:val="87B0EABA"/>
    <w:lvl w:ilvl="0" w:tplc="98B4D0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9700A"/>
    <w:multiLevelType w:val="hybridMultilevel"/>
    <w:tmpl w:val="9BE2BAA2"/>
    <w:lvl w:ilvl="0" w:tplc="1BC842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5091F"/>
    <w:multiLevelType w:val="hybridMultilevel"/>
    <w:tmpl w:val="4950D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30C0B"/>
    <w:multiLevelType w:val="hybridMultilevel"/>
    <w:tmpl w:val="448AF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C2F88"/>
    <w:multiLevelType w:val="hybridMultilevel"/>
    <w:tmpl w:val="73DC1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5"/>
  </w:num>
  <w:num w:numId="5">
    <w:abstractNumId w:val="39"/>
  </w:num>
  <w:num w:numId="6">
    <w:abstractNumId w:val="11"/>
  </w:num>
  <w:num w:numId="7">
    <w:abstractNumId w:val="2"/>
  </w:num>
  <w:num w:numId="8">
    <w:abstractNumId w:val="31"/>
  </w:num>
  <w:num w:numId="9">
    <w:abstractNumId w:val="6"/>
  </w:num>
  <w:num w:numId="10">
    <w:abstractNumId w:val="20"/>
  </w:num>
  <w:num w:numId="11">
    <w:abstractNumId w:val="30"/>
  </w:num>
  <w:num w:numId="12">
    <w:abstractNumId w:val="12"/>
  </w:num>
  <w:num w:numId="13">
    <w:abstractNumId w:val="33"/>
  </w:num>
  <w:num w:numId="14">
    <w:abstractNumId w:val="21"/>
  </w:num>
  <w:num w:numId="15">
    <w:abstractNumId w:val="4"/>
  </w:num>
  <w:num w:numId="16">
    <w:abstractNumId w:val="19"/>
  </w:num>
  <w:num w:numId="17">
    <w:abstractNumId w:val="25"/>
  </w:num>
  <w:num w:numId="18">
    <w:abstractNumId w:val="24"/>
  </w:num>
  <w:num w:numId="19">
    <w:abstractNumId w:val="15"/>
  </w:num>
  <w:num w:numId="20">
    <w:abstractNumId w:val="10"/>
  </w:num>
  <w:num w:numId="21">
    <w:abstractNumId w:val="0"/>
  </w:num>
  <w:num w:numId="22">
    <w:abstractNumId w:val="36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9"/>
  </w:num>
  <w:num w:numId="28">
    <w:abstractNumId w:val="32"/>
  </w:num>
  <w:num w:numId="29">
    <w:abstractNumId w:val="5"/>
  </w:num>
  <w:num w:numId="30">
    <w:abstractNumId w:val="9"/>
  </w:num>
  <w:num w:numId="31">
    <w:abstractNumId w:val="17"/>
  </w:num>
  <w:num w:numId="32">
    <w:abstractNumId w:val="8"/>
  </w:num>
  <w:num w:numId="33">
    <w:abstractNumId w:val="2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23"/>
  </w:num>
  <w:num w:numId="40">
    <w:abstractNumId w:val="28"/>
  </w:num>
  <w:num w:numId="41">
    <w:abstractNumId w:val="27"/>
  </w:num>
  <w:num w:numId="42">
    <w:abstractNumId w:val="2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7E"/>
    <w:rsid w:val="00003C6B"/>
    <w:rsid w:val="00003CA0"/>
    <w:rsid w:val="000043E6"/>
    <w:rsid w:val="00011923"/>
    <w:rsid w:val="00013051"/>
    <w:rsid w:val="00017BCA"/>
    <w:rsid w:val="00035BA0"/>
    <w:rsid w:val="00041D10"/>
    <w:rsid w:val="000462BA"/>
    <w:rsid w:val="00046F1C"/>
    <w:rsid w:val="0004762D"/>
    <w:rsid w:val="00055AF3"/>
    <w:rsid w:val="00056221"/>
    <w:rsid w:val="000600D9"/>
    <w:rsid w:val="000605C6"/>
    <w:rsid w:val="0006220C"/>
    <w:rsid w:val="00063522"/>
    <w:rsid w:val="00074C9C"/>
    <w:rsid w:val="00075973"/>
    <w:rsid w:val="000842A1"/>
    <w:rsid w:val="00084523"/>
    <w:rsid w:val="0008698A"/>
    <w:rsid w:val="00091364"/>
    <w:rsid w:val="00091D3E"/>
    <w:rsid w:val="00097AA5"/>
    <w:rsid w:val="000A3B70"/>
    <w:rsid w:val="000A75EF"/>
    <w:rsid w:val="000C444F"/>
    <w:rsid w:val="000C5BF2"/>
    <w:rsid w:val="000E126F"/>
    <w:rsid w:val="000E3041"/>
    <w:rsid w:val="000E3D4B"/>
    <w:rsid w:val="000E760B"/>
    <w:rsid w:val="001061E8"/>
    <w:rsid w:val="00111B29"/>
    <w:rsid w:val="00112405"/>
    <w:rsid w:val="0011267E"/>
    <w:rsid w:val="001263FB"/>
    <w:rsid w:val="0012738F"/>
    <w:rsid w:val="0013064C"/>
    <w:rsid w:val="0015168A"/>
    <w:rsid w:val="00157ACC"/>
    <w:rsid w:val="00160702"/>
    <w:rsid w:val="00161F97"/>
    <w:rsid w:val="00164E37"/>
    <w:rsid w:val="00175ACD"/>
    <w:rsid w:val="00180788"/>
    <w:rsid w:val="001822A0"/>
    <w:rsid w:val="001903AB"/>
    <w:rsid w:val="001906A0"/>
    <w:rsid w:val="001925A4"/>
    <w:rsid w:val="001A0276"/>
    <w:rsid w:val="001A432B"/>
    <w:rsid w:val="001A7A4C"/>
    <w:rsid w:val="001B5AF3"/>
    <w:rsid w:val="001C441D"/>
    <w:rsid w:val="001C7412"/>
    <w:rsid w:val="001E37D9"/>
    <w:rsid w:val="001E6C4E"/>
    <w:rsid w:val="001E7859"/>
    <w:rsid w:val="001F4AAE"/>
    <w:rsid w:val="002075CD"/>
    <w:rsid w:val="00211C79"/>
    <w:rsid w:val="0021776B"/>
    <w:rsid w:val="00224143"/>
    <w:rsid w:val="00224536"/>
    <w:rsid w:val="0022480D"/>
    <w:rsid w:val="00232B1E"/>
    <w:rsid w:val="00245D21"/>
    <w:rsid w:val="00247CEA"/>
    <w:rsid w:val="00250C93"/>
    <w:rsid w:val="00252D45"/>
    <w:rsid w:val="00255257"/>
    <w:rsid w:val="00262913"/>
    <w:rsid w:val="002826B8"/>
    <w:rsid w:val="002848B8"/>
    <w:rsid w:val="002A3B78"/>
    <w:rsid w:val="002A5470"/>
    <w:rsid w:val="002A72C6"/>
    <w:rsid w:val="002B591F"/>
    <w:rsid w:val="002B6D26"/>
    <w:rsid w:val="002B7DF3"/>
    <w:rsid w:val="002C473A"/>
    <w:rsid w:val="002C4E36"/>
    <w:rsid w:val="002C7F22"/>
    <w:rsid w:val="002D42C1"/>
    <w:rsid w:val="002D5D3C"/>
    <w:rsid w:val="002D7DBB"/>
    <w:rsid w:val="002F0861"/>
    <w:rsid w:val="002F0DE7"/>
    <w:rsid w:val="002F6BFD"/>
    <w:rsid w:val="003016F2"/>
    <w:rsid w:val="00307373"/>
    <w:rsid w:val="00327D20"/>
    <w:rsid w:val="003363ED"/>
    <w:rsid w:val="00337C86"/>
    <w:rsid w:val="00340F03"/>
    <w:rsid w:val="003421A9"/>
    <w:rsid w:val="00345A77"/>
    <w:rsid w:val="00347A9D"/>
    <w:rsid w:val="003578D4"/>
    <w:rsid w:val="00364B4F"/>
    <w:rsid w:val="00365CBC"/>
    <w:rsid w:val="003679F7"/>
    <w:rsid w:val="0037562F"/>
    <w:rsid w:val="00390833"/>
    <w:rsid w:val="00393E98"/>
    <w:rsid w:val="00396402"/>
    <w:rsid w:val="003A007F"/>
    <w:rsid w:val="003A3606"/>
    <w:rsid w:val="003A4804"/>
    <w:rsid w:val="003A7B7B"/>
    <w:rsid w:val="003B30AD"/>
    <w:rsid w:val="003C0886"/>
    <w:rsid w:val="003C19F6"/>
    <w:rsid w:val="003C1A31"/>
    <w:rsid w:val="003C3569"/>
    <w:rsid w:val="003C362C"/>
    <w:rsid w:val="003D28CA"/>
    <w:rsid w:val="003D6BE9"/>
    <w:rsid w:val="003E22D1"/>
    <w:rsid w:val="003E27B5"/>
    <w:rsid w:val="003E36C6"/>
    <w:rsid w:val="003F05C0"/>
    <w:rsid w:val="003F19A8"/>
    <w:rsid w:val="003F326D"/>
    <w:rsid w:val="003F51BA"/>
    <w:rsid w:val="004011ED"/>
    <w:rsid w:val="00403A0C"/>
    <w:rsid w:val="004157C6"/>
    <w:rsid w:val="004209B2"/>
    <w:rsid w:val="00421581"/>
    <w:rsid w:val="00423761"/>
    <w:rsid w:val="0042646F"/>
    <w:rsid w:val="0043011A"/>
    <w:rsid w:val="004302E2"/>
    <w:rsid w:val="004457EC"/>
    <w:rsid w:val="00447B4A"/>
    <w:rsid w:val="00450B91"/>
    <w:rsid w:val="00452011"/>
    <w:rsid w:val="0045369C"/>
    <w:rsid w:val="00455CC2"/>
    <w:rsid w:val="00456D4E"/>
    <w:rsid w:val="00463059"/>
    <w:rsid w:val="00464BD4"/>
    <w:rsid w:val="00465F36"/>
    <w:rsid w:val="004726CA"/>
    <w:rsid w:val="00473BDA"/>
    <w:rsid w:val="00480652"/>
    <w:rsid w:val="0048641C"/>
    <w:rsid w:val="004975EE"/>
    <w:rsid w:val="004A54EC"/>
    <w:rsid w:val="004A7A84"/>
    <w:rsid w:val="004C01F5"/>
    <w:rsid w:val="004C548A"/>
    <w:rsid w:val="004D1175"/>
    <w:rsid w:val="004D6A91"/>
    <w:rsid w:val="004D6F2A"/>
    <w:rsid w:val="004E0966"/>
    <w:rsid w:val="004E286C"/>
    <w:rsid w:val="004E2F1B"/>
    <w:rsid w:val="004E3EF5"/>
    <w:rsid w:val="004E4F7B"/>
    <w:rsid w:val="004F2945"/>
    <w:rsid w:val="004F48DC"/>
    <w:rsid w:val="004F7C00"/>
    <w:rsid w:val="00502FDB"/>
    <w:rsid w:val="00505543"/>
    <w:rsid w:val="0052492A"/>
    <w:rsid w:val="00530271"/>
    <w:rsid w:val="00534E12"/>
    <w:rsid w:val="00535309"/>
    <w:rsid w:val="005355DA"/>
    <w:rsid w:val="00535D8A"/>
    <w:rsid w:val="005400AE"/>
    <w:rsid w:val="00545CE9"/>
    <w:rsid w:val="00551369"/>
    <w:rsid w:val="0055345A"/>
    <w:rsid w:val="00554FFC"/>
    <w:rsid w:val="00561BAB"/>
    <w:rsid w:val="00562C25"/>
    <w:rsid w:val="00562EB1"/>
    <w:rsid w:val="00565F0A"/>
    <w:rsid w:val="00571932"/>
    <w:rsid w:val="00574740"/>
    <w:rsid w:val="005754A7"/>
    <w:rsid w:val="005817B1"/>
    <w:rsid w:val="00593355"/>
    <w:rsid w:val="005A064E"/>
    <w:rsid w:val="005A21A5"/>
    <w:rsid w:val="005C3F5D"/>
    <w:rsid w:val="005C4326"/>
    <w:rsid w:val="005D1584"/>
    <w:rsid w:val="005E0890"/>
    <w:rsid w:val="005E15EC"/>
    <w:rsid w:val="005E433B"/>
    <w:rsid w:val="005E4D1C"/>
    <w:rsid w:val="005E5031"/>
    <w:rsid w:val="005E5703"/>
    <w:rsid w:val="005E6B82"/>
    <w:rsid w:val="005F06D0"/>
    <w:rsid w:val="005F3C30"/>
    <w:rsid w:val="005F592E"/>
    <w:rsid w:val="005F6CA0"/>
    <w:rsid w:val="00601F01"/>
    <w:rsid w:val="00617D43"/>
    <w:rsid w:val="00624FB7"/>
    <w:rsid w:val="00630A68"/>
    <w:rsid w:val="006427E7"/>
    <w:rsid w:val="006432D7"/>
    <w:rsid w:val="00647A24"/>
    <w:rsid w:val="00647CBA"/>
    <w:rsid w:val="00653282"/>
    <w:rsid w:val="00653885"/>
    <w:rsid w:val="00653FC3"/>
    <w:rsid w:val="00654947"/>
    <w:rsid w:val="00660E93"/>
    <w:rsid w:val="00665B2B"/>
    <w:rsid w:val="00670B2F"/>
    <w:rsid w:val="00676FE4"/>
    <w:rsid w:val="00683888"/>
    <w:rsid w:val="0068510C"/>
    <w:rsid w:val="0069557C"/>
    <w:rsid w:val="00695F81"/>
    <w:rsid w:val="006A3315"/>
    <w:rsid w:val="006A4376"/>
    <w:rsid w:val="006A768C"/>
    <w:rsid w:val="006B02A4"/>
    <w:rsid w:val="006C16DB"/>
    <w:rsid w:val="006C6323"/>
    <w:rsid w:val="006C7E16"/>
    <w:rsid w:val="006D1303"/>
    <w:rsid w:val="006E3E1B"/>
    <w:rsid w:val="006F64E3"/>
    <w:rsid w:val="00700C78"/>
    <w:rsid w:val="0070207C"/>
    <w:rsid w:val="00703250"/>
    <w:rsid w:val="007059E6"/>
    <w:rsid w:val="0070644D"/>
    <w:rsid w:val="0071781A"/>
    <w:rsid w:val="0072209D"/>
    <w:rsid w:val="007335FE"/>
    <w:rsid w:val="007338E1"/>
    <w:rsid w:val="00735583"/>
    <w:rsid w:val="007361BC"/>
    <w:rsid w:val="007374D7"/>
    <w:rsid w:val="00752B39"/>
    <w:rsid w:val="0075503A"/>
    <w:rsid w:val="00760310"/>
    <w:rsid w:val="0076479E"/>
    <w:rsid w:val="00766C51"/>
    <w:rsid w:val="00774498"/>
    <w:rsid w:val="007810BE"/>
    <w:rsid w:val="00782CFE"/>
    <w:rsid w:val="00784B96"/>
    <w:rsid w:val="00786A53"/>
    <w:rsid w:val="00794F02"/>
    <w:rsid w:val="0079621C"/>
    <w:rsid w:val="00797797"/>
    <w:rsid w:val="007A5DDE"/>
    <w:rsid w:val="007A7F39"/>
    <w:rsid w:val="007B00BF"/>
    <w:rsid w:val="007B10EC"/>
    <w:rsid w:val="007B384A"/>
    <w:rsid w:val="007C362E"/>
    <w:rsid w:val="007D26AD"/>
    <w:rsid w:val="007D2E5F"/>
    <w:rsid w:val="007D4E3B"/>
    <w:rsid w:val="007E7162"/>
    <w:rsid w:val="007F2EE3"/>
    <w:rsid w:val="0081486D"/>
    <w:rsid w:val="008205C0"/>
    <w:rsid w:val="00821987"/>
    <w:rsid w:val="00824652"/>
    <w:rsid w:val="00827182"/>
    <w:rsid w:val="008277F4"/>
    <w:rsid w:val="0083016C"/>
    <w:rsid w:val="00830A9A"/>
    <w:rsid w:val="00832277"/>
    <w:rsid w:val="00833172"/>
    <w:rsid w:val="00833851"/>
    <w:rsid w:val="00844057"/>
    <w:rsid w:val="0084600E"/>
    <w:rsid w:val="008563F6"/>
    <w:rsid w:val="00857B2B"/>
    <w:rsid w:val="00861C93"/>
    <w:rsid w:val="008742D4"/>
    <w:rsid w:val="00874835"/>
    <w:rsid w:val="0087532F"/>
    <w:rsid w:val="008834F0"/>
    <w:rsid w:val="008914D8"/>
    <w:rsid w:val="008B7872"/>
    <w:rsid w:val="008D47C6"/>
    <w:rsid w:val="008D630C"/>
    <w:rsid w:val="008E0FFF"/>
    <w:rsid w:val="008E5E06"/>
    <w:rsid w:val="008F6FCA"/>
    <w:rsid w:val="009010EE"/>
    <w:rsid w:val="00903E8B"/>
    <w:rsid w:val="00907809"/>
    <w:rsid w:val="0091053E"/>
    <w:rsid w:val="0091628A"/>
    <w:rsid w:val="009205D6"/>
    <w:rsid w:val="0092070D"/>
    <w:rsid w:val="00932A3C"/>
    <w:rsid w:val="009419F5"/>
    <w:rsid w:val="0094391E"/>
    <w:rsid w:val="00944071"/>
    <w:rsid w:val="00944754"/>
    <w:rsid w:val="009458B7"/>
    <w:rsid w:val="009458E7"/>
    <w:rsid w:val="009579A1"/>
    <w:rsid w:val="0096020A"/>
    <w:rsid w:val="00963F9C"/>
    <w:rsid w:val="00965CD5"/>
    <w:rsid w:val="009664C0"/>
    <w:rsid w:val="0096660F"/>
    <w:rsid w:val="00981AC0"/>
    <w:rsid w:val="009849A6"/>
    <w:rsid w:val="00985B12"/>
    <w:rsid w:val="00986E07"/>
    <w:rsid w:val="00992B0C"/>
    <w:rsid w:val="009949B1"/>
    <w:rsid w:val="009A148C"/>
    <w:rsid w:val="009A7B48"/>
    <w:rsid w:val="009C2892"/>
    <w:rsid w:val="009C4640"/>
    <w:rsid w:val="009D7708"/>
    <w:rsid w:val="009E1053"/>
    <w:rsid w:val="009E3668"/>
    <w:rsid w:val="009E4E45"/>
    <w:rsid w:val="009F123E"/>
    <w:rsid w:val="009F4E40"/>
    <w:rsid w:val="009F6C75"/>
    <w:rsid w:val="00A061DF"/>
    <w:rsid w:val="00A15034"/>
    <w:rsid w:val="00A17B88"/>
    <w:rsid w:val="00A200CF"/>
    <w:rsid w:val="00A21012"/>
    <w:rsid w:val="00A24E2C"/>
    <w:rsid w:val="00A260B6"/>
    <w:rsid w:val="00A344B2"/>
    <w:rsid w:val="00A36778"/>
    <w:rsid w:val="00A409D3"/>
    <w:rsid w:val="00A40B54"/>
    <w:rsid w:val="00A41535"/>
    <w:rsid w:val="00A43A14"/>
    <w:rsid w:val="00A51073"/>
    <w:rsid w:val="00A5668B"/>
    <w:rsid w:val="00A56842"/>
    <w:rsid w:val="00A610C1"/>
    <w:rsid w:val="00A6271E"/>
    <w:rsid w:val="00A664B2"/>
    <w:rsid w:val="00A73C03"/>
    <w:rsid w:val="00A87A31"/>
    <w:rsid w:val="00A935CC"/>
    <w:rsid w:val="00A966A4"/>
    <w:rsid w:val="00A96D45"/>
    <w:rsid w:val="00AA0D25"/>
    <w:rsid w:val="00AA23D9"/>
    <w:rsid w:val="00AA3112"/>
    <w:rsid w:val="00AA33A7"/>
    <w:rsid w:val="00AA59A6"/>
    <w:rsid w:val="00AB33F1"/>
    <w:rsid w:val="00AB782E"/>
    <w:rsid w:val="00AC5955"/>
    <w:rsid w:val="00AC66A9"/>
    <w:rsid w:val="00AD1FED"/>
    <w:rsid w:val="00AD4E6E"/>
    <w:rsid w:val="00AE0B64"/>
    <w:rsid w:val="00AE5236"/>
    <w:rsid w:val="00AE626E"/>
    <w:rsid w:val="00AF2009"/>
    <w:rsid w:val="00AF2B6B"/>
    <w:rsid w:val="00AF4E26"/>
    <w:rsid w:val="00B10B2F"/>
    <w:rsid w:val="00B14108"/>
    <w:rsid w:val="00B15A99"/>
    <w:rsid w:val="00B15C71"/>
    <w:rsid w:val="00B1736B"/>
    <w:rsid w:val="00B2142E"/>
    <w:rsid w:val="00B24EB8"/>
    <w:rsid w:val="00B44F67"/>
    <w:rsid w:val="00B50A49"/>
    <w:rsid w:val="00B53CAA"/>
    <w:rsid w:val="00B610AF"/>
    <w:rsid w:val="00B6277E"/>
    <w:rsid w:val="00B723EA"/>
    <w:rsid w:val="00B73DE1"/>
    <w:rsid w:val="00B75933"/>
    <w:rsid w:val="00B768A3"/>
    <w:rsid w:val="00B95746"/>
    <w:rsid w:val="00B97A6D"/>
    <w:rsid w:val="00BA0830"/>
    <w:rsid w:val="00BA1E1A"/>
    <w:rsid w:val="00BB5C0F"/>
    <w:rsid w:val="00BC71B5"/>
    <w:rsid w:val="00BD04E1"/>
    <w:rsid w:val="00BD5606"/>
    <w:rsid w:val="00BE05AD"/>
    <w:rsid w:val="00BE592E"/>
    <w:rsid w:val="00BF2FE4"/>
    <w:rsid w:val="00C00892"/>
    <w:rsid w:val="00C04EF6"/>
    <w:rsid w:val="00C07583"/>
    <w:rsid w:val="00C16130"/>
    <w:rsid w:val="00C252F1"/>
    <w:rsid w:val="00C261FC"/>
    <w:rsid w:val="00C44C95"/>
    <w:rsid w:val="00C51130"/>
    <w:rsid w:val="00C67470"/>
    <w:rsid w:val="00C70556"/>
    <w:rsid w:val="00C70D62"/>
    <w:rsid w:val="00C71B46"/>
    <w:rsid w:val="00C73078"/>
    <w:rsid w:val="00C738A2"/>
    <w:rsid w:val="00C85580"/>
    <w:rsid w:val="00C90F94"/>
    <w:rsid w:val="00C936F6"/>
    <w:rsid w:val="00CA1376"/>
    <w:rsid w:val="00CA3EAC"/>
    <w:rsid w:val="00CA457A"/>
    <w:rsid w:val="00CA514B"/>
    <w:rsid w:val="00CA5375"/>
    <w:rsid w:val="00CA5F0A"/>
    <w:rsid w:val="00CA62B7"/>
    <w:rsid w:val="00CB41D9"/>
    <w:rsid w:val="00CB69C2"/>
    <w:rsid w:val="00CB6B6F"/>
    <w:rsid w:val="00CC086A"/>
    <w:rsid w:val="00CE3169"/>
    <w:rsid w:val="00CE564A"/>
    <w:rsid w:val="00CE5B34"/>
    <w:rsid w:val="00D05A92"/>
    <w:rsid w:val="00D14193"/>
    <w:rsid w:val="00D1446A"/>
    <w:rsid w:val="00D15F36"/>
    <w:rsid w:val="00D17E5F"/>
    <w:rsid w:val="00D21CB0"/>
    <w:rsid w:val="00D30FA7"/>
    <w:rsid w:val="00D33C98"/>
    <w:rsid w:val="00D44E4B"/>
    <w:rsid w:val="00D45299"/>
    <w:rsid w:val="00D47E3A"/>
    <w:rsid w:val="00D52BB8"/>
    <w:rsid w:val="00D535C0"/>
    <w:rsid w:val="00D54ECB"/>
    <w:rsid w:val="00D5715B"/>
    <w:rsid w:val="00D61CC2"/>
    <w:rsid w:val="00D63380"/>
    <w:rsid w:val="00D6493C"/>
    <w:rsid w:val="00D662D8"/>
    <w:rsid w:val="00D67099"/>
    <w:rsid w:val="00D67268"/>
    <w:rsid w:val="00D74499"/>
    <w:rsid w:val="00D7634D"/>
    <w:rsid w:val="00D80DFB"/>
    <w:rsid w:val="00D86935"/>
    <w:rsid w:val="00D925AF"/>
    <w:rsid w:val="00D96005"/>
    <w:rsid w:val="00D97EEE"/>
    <w:rsid w:val="00DA48B6"/>
    <w:rsid w:val="00DA5E04"/>
    <w:rsid w:val="00DA68AF"/>
    <w:rsid w:val="00DA7BA9"/>
    <w:rsid w:val="00DB056F"/>
    <w:rsid w:val="00DB39F0"/>
    <w:rsid w:val="00DB59CF"/>
    <w:rsid w:val="00DC125A"/>
    <w:rsid w:val="00DC2B07"/>
    <w:rsid w:val="00DC417E"/>
    <w:rsid w:val="00DC6D3F"/>
    <w:rsid w:val="00DD51DF"/>
    <w:rsid w:val="00DD734C"/>
    <w:rsid w:val="00DE1356"/>
    <w:rsid w:val="00DE6BDF"/>
    <w:rsid w:val="00DF0FC9"/>
    <w:rsid w:val="00DF146B"/>
    <w:rsid w:val="00DF1D06"/>
    <w:rsid w:val="00DF2859"/>
    <w:rsid w:val="00DF4473"/>
    <w:rsid w:val="00DF479A"/>
    <w:rsid w:val="00E013B5"/>
    <w:rsid w:val="00E162C8"/>
    <w:rsid w:val="00E21F2A"/>
    <w:rsid w:val="00E2507F"/>
    <w:rsid w:val="00E327B8"/>
    <w:rsid w:val="00E32BE8"/>
    <w:rsid w:val="00E43103"/>
    <w:rsid w:val="00E4352B"/>
    <w:rsid w:val="00E4618E"/>
    <w:rsid w:val="00E51ADB"/>
    <w:rsid w:val="00E5233C"/>
    <w:rsid w:val="00E559F3"/>
    <w:rsid w:val="00E62A94"/>
    <w:rsid w:val="00E642BA"/>
    <w:rsid w:val="00E80038"/>
    <w:rsid w:val="00E81CA4"/>
    <w:rsid w:val="00E8206B"/>
    <w:rsid w:val="00E838AF"/>
    <w:rsid w:val="00E8424A"/>
    <w:rsid w:val="00E86249"/>
    <w:rsid w:val="00EA421F"/>
    <w:rsid w:val="00EA4DD8"/>
    <w:rsid w:val="00EB51EA"/>
    <w:rsid w:val="00EC04BF"/>
    <w:rsid w:val="00EC4E7E"/>
    <w:rsid w:val="00ED1A2B"/>
    <w:rsid w:val="00ED555A"/>
    <w:rsid w:val="00ED6CAA"/>
    <w:rsid w:val="00EE0B08"/>
    <w:rsid w:val="00EE1120"/>
    <w:rsid w:val="00EE439A"/>
    <w:rsid w:val="00EE5035"/>
    <w:rsid w:val="00EE6DE8"/>
    <w:rsid w:val="00EE71AD"/>
    <w:rsid w:val="00EF1311"/>
    <w:rsid w:val="00EF4E11"/>
    <w:rsid w:val="00EF5B91"/>
    <w:rsid w:val="00F006C3"/>
    <w:rsid w:val="00F05C1A"/>
    <w:rsid w:val="00F05C4C"/>
    <w:rsid w:val="00F0616E"/>
    <w:rsid w:val="00F10273"/>
    <w:rsid w:val="00F1306B"/>
    <w:rsid w:val="00F217FC"/>
    <w:rsid w:val="00F24163"/>
    <w:rsid w:val="00F25CF8"/>
    <w:rsid w:val="00F3099B"/>
    <w:rsid w:val="00F30CC8"/>
    <w:rsid w:val="00F31C93"/>
    <w:rsid w:val="00F32710"/>
    <w:rsid w:val="00F335EB"/>
    <w:rsid w:val="00F355AF"/>
    <w:rsid w:val="00F36970"/>
    <w:rsid w:val="00F37BC6"/>
    <w:rsid w:val="00F411C2"/>
    <w:rsid w:val="00F43F16"/>
    <w:rsid w:val="00F449BE"/>
    <w:rsid w:val="00F5101D"/>
    <w:rsid w:val="00F530A0"/>
    <w:rsid w:val="00F55B1F"/>
    <w:rsid w:val="00F56E2B"/>
    <w:rsid w:val="00F6039F"/>
    <w:rsid w:val="00F62B44"/>
    <w:rsid w:val="00F6357C"/>
    <w:rsid w:val="00F65184"/>
    <w:rsid w:val="00F7265C"/>
    <w:rsid w:val="00F80A68"/>
    <w:rsid w:val="00F82DF0"/>
    <w:rsid w:val="00F86909"/>
    <w:rsid w:val="00F93732"/>
    <w:rsid w:val="00F93758"/>
    <w:rsid w:val="00FA0B4C"/>
    <w:rsid w:val="00FA698F"/>
    <w:rsid w:val="00FB1644"/>
    <w:rsid w:val="00FC0719"/>
    <w:rsid w:val="00FC167A"/>
    <w:rsid w:val="00FD2F22"/>
    <w:rsid w:val="00FD476A"/>
    <w:rsid w:val="00FD6DF1"/>
    <w:rsid w:val="00FE05CD"/>
    <w:rsid w:val="00FE32BB"/>
    <w:rsid w:val="00FE3445"/>
    <w:rsid w:val="00FE37C9"/>
    <w:rsid w:val="00FE3AD5"/>
    <w:rsid w:val="00FE3D37"/>
    <w:rsid w:val="00FE7403"/>
    <w:rsid w:val="00FF4BBE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4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4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28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Char">
    <w:name w:val="odsek Char"/>
    <w:link w:val="odsek"/>
    <w:locked/>
    <w:rsid w:val="00B53CAA"/>
    <w:rPr>
      <w:sz w:val="24"/>
    </w:rPr>
  </w:style>
  <w:style w:type="paragraph" w:customStyle="1" w:styleId="odsek">
    <w:name w:val="odsek"/>
    <w:basedOn w:val="Normlny"/>
    <w:link w:val="odsekChar"/>
    <w:qFormat/>
    <w:rsid w:val="00B53CAA"/>
    <w:pPr>
      <w:keepNext/>
      <w:spacing w:after="0" w:line="240" w:lineRule="auto"/>
      <w:ind w:firstLine="709"/>
      <w:jc w:val="both"/>
    </w:pPr>
    <w:rPr>
      <w:sz w:val="24"/>
    </w:rPr>
  </w:style>
  <w:style w:type="paragraph" w:customStyle="1" w:styleId="psmenaa">
    <w:name w:val="písmena a)"/>
    <w:basedOn w:val="Normlny"/>
    <w:autoRedefine/>
    <w:rsid w:val="009E4E45"/>
    <w:pPr>
      <w:tabs>
        <w:tab w:val="left" w:pos="54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Cs/>
      <w:w w:val="97"/>
      <w:kern w:val="28"/>
      <w:sz w:val="24"/>
      <w:szCs w:val="16"/>
      <w:lang w:eastAsia="cs-CZ"/>
    </w:rPr>
  </w:style>
  <w:style w:type="paragraph" w:styleId="Revzia">
    <w:name w:val="Revision"/>
    <w:hidden/>
    <w:uiPriority w:val="99"/>
    <w:semiHidden/>
    <w:rsid w:val="00562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4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4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28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Char">
    <w:name w:val="odsek Char"/>
    <w:link w:val="odsek"/>
    <w:locked/>
    <w:rsid w:val="00B53CAA"/>
    <w:rPr>
      <w:sz w:val="24"/>
    </w:rPr>
  </w:style>
  <w:style w:type="paragraph" w:customStyle="1" w:styleId="odsek">
    <w:name w:val="odsek"/>
    <w:basedOn w:val="Normlny"/>
    <w:link w:val="odsekChar"/>
    <w:qFormat/>
    <w:rsid w:val="00B53CAA"/>
    <w:pPr>
      <w:keepNext/>
      <w:spacing w:after="0" w:line="240" w:lineRule="auto"/>
      <w:ind w:firstLine="709"/>
      <w:jc w:val="both"/>
    </w:pPr>
    <w:rPr>
      <w:sz w:val="24"/>
    </w:rPr>
  </w:style>
  <w:style w:type="paragraph" w:customStyle="1" w:styleId="psmenaa">
    <w:name w:val="písmena a)"/>
    <w:basedOn w:val="Normlny"/>
    <w:autoRedefine/>
    <w:rsid w:val="009E4E45"/>
    <w:pPr>
      <w:tabs>
        <w:tab w:val="left" w:pos="54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Cs/>
      <w:w w:val="97"/>
      <w:kern w:val="28"/>
      <w:sz w:val="24"/>
      <w:szCs w:val="16"/>
      <w:lang w:eastAsia="cs-CZ"/>
    </w:rPr>
  </w:style>
  <w:style w:type="paragraph" w:styleId="Revzia">
    <w:name w:val="Revision"/>
    <w:hidden/>
    <w:uiPriority w:val="99"/>
    <w:semiHidden/>
    <w:rsid w:val="0056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8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0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43667637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7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5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6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8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0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06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6289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400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63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71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606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9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9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7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2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46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4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7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5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5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67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Hrnčiarová, Lenka, JUDr."/>
    <f:field ref="objcreatedat" par="" text="24.11.2016 16:29:41"/>
    <f:field ref="objchangedby" par="" text="Administrator, System"/>
    <f:field ref="objmodifiedat" par="" text="24.11.2016 16:29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A79612-84F5-4512-80D3-77CD2734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8351</Characters>
  <Application>Microsoft Office Word</Application>
  <DocSecurity>4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Gilanová Zuzana</cp:lastModifiedBy>
  <cp:revision>2</cp:revision>
  <cp:lastPrinted>2017-08-02T06:29:00Z</cp:lastPrinted>
  <dcterms:created xsi:type="dcterms:W3CDTF">2017-08-02T07:37:00Z</dcterms:created>
  <dcterms:modified xsi:type="dcterms:W3CDTF">2017-08-02T07:37:00Z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Vlastnícke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č.1 na december z Plánu legislatívnych úloh vlády SR na rok 2016</vt:lpwstr>
  </property>
  <property fmtid="{D5CDD505-2E9C-101B-9397-08002B2CF9AE}" pid="23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3052/2016-410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4. 11. 2016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Konzultácie vykonané v dňoch od 14.08.2016 do 19.09.2016.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50" name="FSC#COOSYSTEM@1.1:Container">
    <vt:lpwstr>COO.2145.1000.3.1701759</vt:lpwstr>
  </property>
  <property fmtid="{D5CDD505-2E9C-101B-9397-08002B2CF9AE}" pid="151" name="FSC#FSCFOLIO@1.1001:docpropproject">
    <vt:lpwstr/>
  </property>
</Properties>
</file>