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6452" w:rsidRPr="00A12DE5" w:rsidRDefault="00E76452" w:rsidP="00B22CFA">
      <w:pPr>
        <w:jc w:val="right"/>
        <w:rPr>
          <w:rFonts w:eastAsia="Calibri"/>
          <w:sz w:val="24"/>
          <w:szCs w:val="24"/>
        </w:rPr>
      </w:pPr>
    </w:p>
    <w:tbl>
      <w:tblPr>
        <w:tblW w:w="937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70" w:type="dxa"/>
          <w:bottom w:w="28" w:type="dxa"/>
          <w:right w:w="70" w:type="dxa"/>
        </w:tblCellMar>
        <w:tblLook w:val="0000" w:firstRow="0" w:lastRow="0" w:firstColumn="0" w:lastColumn="0" w:noHBand="0" w:noVBand="0"/>
      </w:tblPr>
      <w:tblGrid>
        <w:gridCol w:w="9371"/>
      </w:tblGrid>
      <w:tr w:rsidR="00E76452" w:rsidRPr="00A12DE5" w:rsidTr="00E76883">
        <w:trPr>
          <w:trHeight w:val="822"/>
        </w:trPr>
        <w:tc>
          <w:tcPr>
            <w:tcW w:w="9371" w:type="dxa"/>
            <w:shd w:val="clear" w:color="auto" w:fill="BFBFBF"/>
            <w:vAlign w:val="center"/>
          </w:tcPr>
          <w:p w:rsidR="00E76452" w:rsidRPr="00A12DE5" w:rsidRDefault="00E76452" w:rsidP="00B22CFA">
            <w:pPr>
              <w:widowControl w:val="0"/>
              <w:adjustRightInd w:val="0"/>
              <w:jc w:val="center"/>
              <w:textAlignment w:val="baseline"/>
              <w:rPr>
                <w:b/>
                <w:bCs/>
                <w:sz w:val="32"/>
                <w:szCs w:val="32"/>
              </w:rPr>
            </w:pPr>
            <w:r w:rsidRPr="00A12DE5">
              <w:rPr>
                <w:b/>
                <w:bCs/>
                <w:sz w:val="32"/>
                <w:szCs w:val="32"/>
              </w:rPr>
              <w:t>Analýza vplyvov na služby verejnej správy pre občana</w:t>
            </w:r>
          </w:p>
          <w:p w:rsidR="00E76452" w:rsidRPr="00A12DE5" w:rsidRDefault="00E76452" w:rsidP="00B22CFA">
            <w:pPr>
              <w:widowControl w:val="0"/>
              <w:adjustRightInd w:val="0"/>
              <w:jc w:val="both"/>
              <w:textAlignment w:val="baseline"/>
              <w:rPr>
                <w:b/>
                <w:i/>
                <w:iCs/>
                <w:sz w:val="2"/>
              </w:rPr>
            </w:pPr>
          </w:p>
        </w:tc>
      </w:tr>
      <w:tr w:rsidR="00E76452" w:rsidRPr="00A12DE5" w:rsidTr="00E76883">
        <w:trPr>
          <w:trHeight w:val="367"/>
        </w:trPr>
        <w:tc>
          <w:tcPr>
            <w:tcW w:w="9371" w:type="dxa"/>
            <w:shd w:val="clear" w:color="auto" w:fill="C0C0C0"/>
            <w:vAlign w:val="center"/>
          </w:tcPr>
          <w:p w:rsidR="00E76452" w:rsidRPr="00A12DE5" w:rsidRDefault="00E76452" w:rsidP="00B22CFA">
            <w:pPr>
              <w:widowControl w:val="0"/>
              <w:adjustRightInd w:val="0"/>
              <w:jc w:val="center"/>
              <w:textAlignment w:val="baseline"/>
              <w:rPr>
                <w:b/>
                <w:sz w:val="28"/>
                <w:szCs w:val="28"/>
              </w:rPr>
            </w:pPr>
            <w:r w:rsidRPr="00A12DE5">
              <w:rPr>
                <w:b/>
                <w:sz w:val="28"/>
                <w:szCs w:val="28"/>
              </w:rPr>
              <w:t xml:space="preserve">7.1 Identifikácia služby verejnej správy, ktorá je dotknutá návrhom </w:t>
            </w:r>
          </w:p>
        </w:tc>
      </w:tr>
      <w:tr w:rsidR="00E76452" w:rsidRPr="00A12DE5" w:rsidTr="00E76883">
        <w:trPr>
          <w:trHeight w:val="316"/>
        </w:trPr>
        <w:tc>
          <w:tcPr>
            <w:tcW w:w="9371" w:type="dxa"/>
          </w:tcPr>
          <w:p w:rsidR="00E76452" w:rsidRPr="00A12DE5" w:rsidRDefault="00E76452" w:rsidP="00B22CFA">
            <w:pPr>
              <w:widowControl w:val="0"/>
              <w:adjustRightInd w:val="0"/>
              <w:jc w:val="both"/>
              <w:textAlignment w:val="baseline"/>
              <w:rPr>
                <w:b/>
                <w:i/>
              </w:rPr>
            </w:pPr>
            <w:r w:rsidRPr="00A12DE5">
              <w:rPr>
                <w:b/>
                <w:sz w:val="24"/>
                <w:szCs w:val="24"/>
              </w:rPr>
              <w:t>7.1.1 Predpokladá predložený návrh zmenu existujúcej služby verejnej správy alebo vytvorenie novej služby?</w:t>
            </w:r>
            <w:r w:rsidRPr="00A12DE5">
              <w:rPr>
                <w:i/>
              </w:rPr>
              <w:t xml:space="preserve"> </w:t>
            </w:r>
          </w:p>
        </w:tc>
      </w:tr>
      <w:tr w:rsidR="00E76452" w:rsidRPr="00A12DE5" w:rsidTr="00E76883">
        <w:trPr>
          <w:trHeight w:val="296"/>
        </w:trPr>
        <w:tc>
          <w:tcPr>
            <w:tcW w:w="9371" w:type="dxa"/>
          </w:tcPr>
          <w:p w:rsidR="00E76452" w:rsidRPr="00A12DE5" w:rsidRDefault="00E76452" w:rsidP="00B22CFA">
            <w:pPr>
              <w:widowControl w:val="0"/>
              <w:adjustRightInd w:val="0"/>
              <w:jc w:val="both"/>
              <w:textAlignment w:val="baseline"/>
              <w:rPr>
                <w:b/>
                <w:i/>
              </w:rPr>
            </w:pPr>
            <w:r w:rsidRPr="00A12DE5">
              <w:rPr>
                <w:i/>
              </w:rPr>
              <w:t xml:space="preserve">Zmena existujúcej služby (konkretizujte a popíšte) </w:t>
            </w:r>
          </w:p>
        </w:tc>
      </w:tr>
      <w:tr w:rsidR="00E76452" w:rsidRPr="00A12DE5" w:rsidTr="00030C4B">
        <w:trPr>
          <w:trHeight w:val="318"/>
        </w:trPr>
        <w:tc>
          <w:tcPr>
            <w:tcW w:w="9371" w:type="dxa"/>
          </w:tcPr>
          <w:p w:rsidR="00E76452" w:rsidRPr="00B22CFA" w:rsidRDefault="00851896" w:rsidP="00744ADA">
            <w:pPr>
              <w:pStyle w:val="Odsekzoznamu"/>
              <w:widowControl w:val="0"/>
              <w:numPr>
                <w:ilvl w:val="0"/>
                <w:numId w:val="17"/>
              </w:numPr>
              <w:adjustRightInd w:val="0"/>
              <w:spacing w:after="120" w:line="240" w:lineRule="auto"/>
              <w:ind w:left="371"/>
              <w:jc w:val="both"/>
              <w:textAlignment w:val="baseline"/>
              <w:rPr>
                <w:rFonts w:ascii="Times New Roman" w:hAnsi="Times New Roman" w:cs="Times New Roman"/>
                <w:i/>
                <w:sz w:val="20"/>
                <w:szCs w:val="20"/>
              </w:rPr>
            </w:pPr>
            <w:r w:rsidRPr="00B22CFA">
              <w:rPr>
                <w:rFonts w:ascii="Times New Roman" w:hAnsi="Times New Roman" w:cs="Times New Roman"/>
                <w:sz w:val="20"/>
                <w:szCs w:val="20"/>
              </w:rPr>
              <w:t>Opatrenie</w:t>
            </w:r>
            <w:r w:rsidRPr="00B22CFA">
              <w:rPr>
                <w:rFonts w:ascii="Times New Roman" w:hAnsi="Times New Roman" w:cs="Times New Roman"/>
                <w:i/>
                <w:sz w:val="20"/>
                <w:szCs w:val="20"/>
              </w:rPr>
              <w:t xml:space="preserve"> (17)</w:t>
            </w:r>
            <w:r w:rsidR="00E76452" w:rsidRPr="00B22CFA">
              <w:rPr>
                <w:rFonts w:ascii="Times New Roman" w:hAnsi="Times New Roman" w:cs="Times New Roman"/>
                <w:i/>
                <w:sz w:val="20"/>
                <w:szCs w:val="20"/>
              </w:rPr>
              <w:t xml:space="preserve">Zaviesť možnosť získať výpis zo živnostenského registra na integrovaných obslužných miestach občana (IOMO) </w:t>
            </w:r>
          </w:p>
          <w:p w:rsidR="00E76452" w:rsidRPr="00A12DE5" w:rsidRDefault="00E76452" w:rsidP="00B22CFA">
            <w:pPr>
              <w:widowControl w:val="0"/>
              <w:adjustRightInd w:val="0"/>
              <w:ind w:left="85"/>
              <w:jc w:val="both"/>
              <w:textAlignment w:val="baseline"/>
            </w:pPr>
            <w:r w:rsidRPr="00A12DE5">
              <w:t>Momentálne je možné získať výpis zo živnostenského registra na</w:t>
            </w:r>
            <w:r w:rsidRPr="00A12DE5">
              <w:rPr>
                <w:b/>
                <w:bCs/>
              </w:rPr>
              <w:t xml:space="preserve"> </w:t>
            </w:r>
            <w:r w:rsidRPr="00A12DE5">
              <w:rPr>
                <w:bCs/>
              </w:rPr>
              <w:t xml:space="preserve">odboroch živnostenského podnikania okresných úradov listinne alebo elektronicky. K elektronickému podaniu posielanému na okresné (živnostenské) úrady sa vyžaduje: </w:t>
            </w:r>
            <w:r w:rsidRPr="00A12DE5">
              <w:t xml:space="preserve">registrácia žiadateľa na Ústrednom portáli verejnej správy SR, zaručený elektronický podpis, vyplnenie príslušného elektronického formulára a jeho podpísanie zaručeným elektronickým podpisom navrhovateľa, naskenované prílohy k návrhu podpísané zaručeným elektronickým podpisom navrhovateľa. </w:t>
            </w:r>
          </w:p>
          <w:p w:rsidR="00E76452" w:rsidRDefault="00E76452" w:rsidP="00744ADA">
            <w:pPr>
              <w:widowControl w:val="0"/>
              <w:adjustRightInd w:val="0"/>
              <w:ind w:left="85"/>
              <w:jc w:val="both"/>
              <w:textAlignment w:val="baseline"/>
            </w:pPr>
            <w:r w:rsidRPr="00A12DE5">
              <w:t>Integrované obslužné miesto občana (IOMO) má slúžiť na vybavovanie úradných záležitostí. IOMO ponúka prístup k elektronickým službám štátu na jednom asistovanom mieste, kde je možné vybaviť: Výpis/Odpis z registra trestov; Výpis z Listu vlastníctva; Výpis z Obchodného registra. Služby IOMO sú v súčasnosti dostupné na viac ako 600 pobočkách Slovenskej pošty, pričom IOMO postupne vznikne v ďalších 973 mestách a obciach s</w:t>
            </w:r>
            <w:r w:rsidR="00D17FE3">
              <w:t> </w:t>
            </w:r>
            <w:r w:rsidRPr="00A12DE5">
              <w:t>matrikou, 38 obciach bez matriky a 80 Klientskych centrách Ministerstva vnútra SR.</w:t>
            </w:r>
          </w:p>
          <w:p w:rsidR="00D17FE3" w:rsidRDefault="00D17FE3" w:rsidP="00744ADA">
            <w:pPr>
              <w:widowControl w:val="0"/>
              <w:adjustRightInd w:val="0"/>
              <w:ind w:left="85"/>
              <w:jc w:val="both"/>
              <w:textAlignment w:val="baseline"/>
            </w:pPr>
          </w:p>
          <w:p w:rsidR="00567687" w:rsidRDefault="00851896" w:rsidP="00744ADA">
            <w:pPr>
              <w:pStyle w:val="Odsekzoznamu"/>
              <w:numPr>
                <w:ilvl w:val="0"/>
                <w:numId w:val="17"/>
              </w:numPr>
              <w:spacing w:after="120" w:line="240" w:lineRule="auto"/>
              <w:ind w:left="371"/>
              <w:jc w:val="both"/>
              <w:rPr>
                <w:rFonts w:ascii="Times New Roman" w:eastAsia="Times New Roman" w:hAnsi="Times New Roman" w:cs="Times New Roman"/>
                <w:sz w:val="20"/>
                <w:szCs w:val="20"/>
                <w:lang w:eastAsia="sk-SK"/>
              </w:rPr>
            </w:pPr>
            <w:r w:rsidRPr="00B22CFA">
              <w:rPr>
                <w:rFonts w:ascii="Times New Roman" w:eastAsia="Times New Roman" w:hAnsi="Times New Roman" w:cs="Times New Roman"/>
                <w:sz w:val="20"/>
                <w:szCs w:val="20"/>
                <w:lang w:eastAsia="sk-SK"/>
              </w:rPr>
              <w:t xml:space="preserve">Opatrenia </w:t>
            </w:r>
          </w:p>
          <w:p w:rsidR="00851896" w:rsidRPr="00B22CFA" w:rsidRDefault="00851896" w:rsidP="00567687">
            <w:pPr>
              <w:pStyle w:val="Odsekzoznamu"/>
              <w:spacing w:after="120" w:line="240" w:lineRule="auto"/>
              <w:ind w:left="371"/>
              <w:jc w:val="both"/>
              <w:rPr>
                <w:rFonts w:ascii="Times New Roman" w:eastAsia="Times New Roman" w:hAnsi="Times New Roman" w:cs="Times New Roman"/>
                <w:sz w:val="20"/>
                <w:szCs w:val="20"/>
                <w:lang w:eastAsia="sk-SK"/>
              </w:rPr>
            </w:pPr>
            <w:r w:rsidRPr="00B22CFA">
              <w:rPr>
                <w:rFonts w:ascii="Times New Roman" w:eastAsia="Times New Roman" w:hAnsi="Times New Roman" w:cs="Times New Roman"/>
                <w:sz w:val="20"/>
                <w:szCs w:val="20"/>
                <w:lang w:eastAsia="sk-SK"/>
              </w:rPr>
              <w:t xml:space="preserve">(10) </w:t>
            </w:r>
            <w:r w:rsidRPr="00B22CFA">
              <w:rPr>
                <w:rFonts w:ascii="Times New Roman" w:eastAsia="Times New Roman" w:hAnsi="Times New Roman" w:cs="Times New Roman"/>
                <w:i/>
                <w:sz w:val="20"/>
                <w:szCs w:val="20"/>
                <w:lang w:eastAsia="sk-SK"/>
              </w:rPr>
              <w:t>Zníženie administratívnej záťaže v stavebníctve a zefektívnenie procesu získavania stavebného povolenia</w:t>
            </w:r>
            <w:r w:rsidRPr="00B22CFA">
              <w:rPr>
                <w:rFonts w:ascii="Times New Roman" w:eastAsia="Times New Roman" w:hAnsi="Times New Roman" w:cs="Times New Roman"/>
                <w:sz w:val="20"/>
                <w:szCs w:val="20"/>
                <w:lang w:eastAsia="sk-SK"/>
              </w:rPr>
              <w:t xml:space="preserve">, </w:t>
            </w:r>
          </w:p>
          <w:p w:rsidR="00851896" w:rsidRPr="00B22CFA" w:rsidRDefault="00851896" w:rsidP="00744ADA">
            <w:pPr>
              <w:pStyle w:val="Odsekzoznamu"/>
              <w:spacing w:after="120" w:line="240" w:lineRule="auto"/>
              <w:ind w:left="365" w:firstLine="6"/>
              <w:jc w:val="both"/>
              <w:rPr>
                <w:rFonts w:ascii="Times New Roman" w:eastAsia="Times New Roman" w:hAnsi="Times New Roman" w:cs="Times New Roman"/>
                <w:sz w:val="20"/>
                <w:szCs w:val="20"/>
                <w:lang w:eastAsia="sk-SK"/>
              </w:rPr>
            </w:pPr>
            <w:r w:rsidRPr="00B22CFA">
              <w:rPr>
                <w:rFonts w:ascii="Times New Roman" w:eastAsia="Times New Roman" w:hAnsi="Times New Roman" w:cs="Times New Roman"/>
                <w:sz w:val="20"/>
                <w:szCs w:val="20"/>
                <w:lang w:eastAsia="sk-SK"/>
              </w:rPr>
              <w:t xml:space="preserve">(11) </w:t>
            </w:r>
            <w:r w:rsidRPr="00B22CFA">
              <w:rPr>
                <w:rFonts w:ascii="Times New Roman" w:eastAsia="Times New Roman" w:hAnsi="Times New Roman" w:cs="Times New Roman"/>
                <w:i/>
                <w:sz w:val="20"/>
                <w:szCs w:val="20"/>
                <w:lang w:eastAsia="sk-SK"/>
              </w:rPr>
              <w:t>Prijať účinný systém pre stanovenie regulačných zásad funkčného využívania a priestorového usporiadania územia</w:t>
            </w:r>
            <w:r w:rsidRPr="00B22CFA">
              <w:rPr>
                <w:rFonts w:ascii="Times New Roman" w:eastAsia="Times New Roman" w:hAnsi="Times New Roman" w:cs="Times New Roman"/>
                <w:sz w:val="20"/>
                <w:szCs w:val="20"/>
                <w:lang w:eastAsia="sk-SK"/>
              </w:rPr>
              <w:t xml:space="preserve">,  </w:t>
            </w:r>
          </w:p>
          <w:p w:rsidR="00851896" w:rsidRPr="00B22CFA" w:rsidRDefault="00851896" w:rsidP="00D17FE3">
            <w:pPr>
              <w:pStyle w:val="Odsekzoznamu"/>
              <w:spacing w:after="120" w:line="240" w:lineRule="auto"/>
              <w:ind w:left="365" w:firstLine="6"/>
              <w:jc w:val="both"/>
              <w:rPr>
                <w:rFonts w:ascii="Times New Roman" w:eastAsia="Times New Roman" w:hAnsi="Times New Roman" w:cs="Times New Roman"/>
                <w:sz w:val="20"/>
                <w:szCs w:val="20"/>
                <w:lang w:eastAsia="sk-SK"/>
              </w:rPr>
            </w:pPr>
            <w:r w:rsidRPr="00B22CFA">
              <w:rPr>
                <w:rFonts w:ascii="Times New Roman" w:eastAsia="Times New Roman" w:hAnsi="Times New Roman" w:cs="Times New Roman"/>
                <w:sz w:val="20"/>
                <w:szCs w:val="20"/>
                <w:lang w:eastAsia="sk-SK"/>
              </w:rPr>
              <w:t xml:space="preserve">(12) </w:t>
            </w:r>
            <w:r w:rsidRPr="00B22CFA">
              <w:rPr>
                <w:rFonts w:ascii="Times New Roman" w:eastAsia="Times New Roman" w:hAnsi="Times New Roman" w:cs="Times New Roman"/>
                <w:i/>
                <w:sz w:val="20"/>
                <w:szCs w:val="20"/>
                <w:lang w:eastAsia="sk-SK"/>
              </w:rPr>
              <w:t>Zjednodušiť procesy povoľovania stavieb menšieho rozsahu s pozitívnym vplyvom na proces stavebného konania konštrukčne zložitejších stavebných celkov</w:t>
            </w:r>
            <w:r w:rsidRPr="00B22CFA">
              <w:rPr>
                <w:rFonts w:ascii="Times New Roman" w:eastAsia="Times New Roman" w:hAnsi="Times New Roman" w:cs="Times New Roman"/>
                <w:sz w:val="20"/>
                <w:szCs w:val="20"/>
                <w:lang w:eastAsia="sk-SK"/>
              </w:rPr>
              <w:t>,</w:t>
            </w:r>
          </w:p>
          <w:p w:rsidR="00851896" w:rsidRPr="00B22CFA" w:rsidRDefault="00851896" w:rsidP="00D17FE3">
            <w:pPr>
              <w:pStyle w:val="Odsekzoznamu"/>
              <w:spacing w:after="120" w:line="240" w:lineRule="auto"/>
              <w:ind w:left="365" w:firstLine="6"/>
              <w:jc w:val="both"/>
              <w:rPr>
                <w:rFonts w:ascii="Times New Roman" w:eastAsia="Times New Roman" w:hAnsi="Times New Roman" w:cs="Times New Roman"/>
                <w:sz w:val="20"/>
                <w:szCs w:val="20"/>
                <w:lang w:eastAsia="sk-SK"/>
              </w:rPr>
            </w:pPr>
            <w:r w:rsidRPr="00B22CFA">
              <w:rPr>
                <w:rFonts w:ascii="Times New Roman" w:eastAsia="Times New Roman" w:hAnsi="Times New Roman" w:cs="Times New Roman"/>
                <w:sz w:val="20"/>
                <w:szCs w:val="20"/>
                <w:lang w:eastAsia="sk-SK"/>
              </w:rPr>
              <w:t xml:space="preserve">(13) </w:t>
            </w:r>
            <w:r w:rsidRPr="00B22CFA">
              <w:rPr>
                <w:rFonts w:ascii="Times New Roman" w:eastAsia="Times New Roman" w:hAnsi="Times New Roman" w:cs="Times New Roman"/>
                <w:i/>
                <w:sz w:val="20"/>
                <w:szCs w:val="20"/>
                <w:lang w:eastAsia="sk-SK"/>
              </w:rPr>
              <w:t>Zvýšiť profesionalizáciu výkonu štátnej stavebnej správy</w:t>
            </w:r>
            <w:r w:rsidRPr="00B22CFA">
              <w:rPr>
                <w:rFonts w:ascii="Times New Roman" w:eastAsia="Times New Roman" w:hAnsi="Times New Roman" w:cs="Times New Roman"/>
                <w:sz w:val="20"/>
                <w:szCs w:val="20"/>
                <w:lang w:eastAsia="sk-SK"/>
              </w:rPr>
              <w:t xml:space="preserve">, </w:t>
            </w:r>
          </w:p>
          <w:p w:rsidR="00851896" w:rsidRPr="00B22CFA" w:rsidRDefault="00851896" w:rsidP="00D17FE3">
            <w:pPr>
              <w:pStyle w:val="Odsekzoznamu"/>
              <w:spacing w:after="120" w:line="240" w:lineRule="auto"/>
              <w:ind w:left="365" w:firstLine="6"/>
              <w:jc w:val="both"/>
              <w:rPr>
                <w:rFonts w:ascii="Times New Roman" w:eastAsia="Times New Roman" w:hAnsi="Times New Roman" w:cs="Times New Roman"/>
                <w:sz w:val="20"/>
                <w:szCs w:val="20"/>
                <w:lang w:eastAsia="sk-SK"/>
              </w:rPr>
            </w:pPr>
            <w:r w:rsidRPr="00B22CFA">
              <w:rPr>
                <w:rFonts w:ascii="Times New Roman" w:eastAsia="Times New Roman" w:hAnsi="Times New Roman" w:cs="Times New Roman"/>
                <w:sz w:val="20"/>
                <w:szCs w:val="20"/>
                <w:lang w:eastAsia="sk-SK"/>
              </w:rPr>
              <w:t xml:space="preserve">(14) </w:t>
            </w:r>
            <w:r w:rsidRPr="00B22CFA">
              <w:rPr>
                <w:rFonts w:ascii="Times New Roman" w:eastAsia="Times New Roman" w:hAnsi="Times New Roman" w:cs="Times New Roman"/>
                <w:i/>
                <w:sz w:val="20"/>
                <w:szCs w:val="20"/>
                <w:lang w:eastAsia="sk-SK"/>
              </w:rPr>
              <w:t xml:space="preserve">Zaviesť systém kontrol počas zhotovovania stavby </w:t>
            </w:r>
            <w:r w:rsidRPr="00B22CFA">
              <w:rPr>
                <w:rFonts w:ascii="Times New Roman" w:eastAsia="Times New Roman" w:hAnsi="Times New Roman" w:cs="Times New Roman"/>
                <w:sz w:val="20"/>
                <w:szCs w:val="20"/>
                <w:lang w:eastAsia="sk-SK"/>
              </w:rPr>
              <w:t>a</w:t>
            </w:r>
          </w:p>
          <w:p w:rsidR="00851896" w:rsidRPr="00B22CFA" w:rsidRDefault="00851896" w:rsidP="00D17FE3">
            <w:pPr>
              <w:pStyle w:val="Odsekzoznamu"/>
              <w:spacing w:after="120" w:line="240" w:lineRule="auto"/>
              <w:ind w:left="365" w:firstLine="6"/>
              <w:jc w:val="both"/>
              <w:rPr>
                <w:rFonts w:ascii="Times New Roman" w:eastAsia="Times New Roman" w:hAnsi="Times New Roman" w:cs="Times New Roman"/>
                <w:sz w:val="20"/>
                <w:szCs w:val="20"/>
                <w:lang w:eastAsia="sk-SK"/>
              </w:rPr>
            </w:pPr>
            <w:r w:rsidRPr="00B22CFA">
              <w:rPr>
                <w:rFonts w:ascii="Times New Roman" w:eastAsia="Times New Roman" w:hAnsi="Times New Roman" w:cs="Times New Roman"/>
                <w:sz w:val="20"/>
                <w:szCs w:val="20"/>
                <w:lang w:eastAsia="sk-SK"/>
              </w:rPr>
              <w:t xml:space="preserve">(15) </w:t>
            </w:r>
            <w:r w:rsidRPr="00B22CFA">
              <w:rPr>
                <w:rFonts w:ascii="Times New Roman" w:eastAsia="Times New Roman" w:hAnsi="Times New Roman" w:cs="Times New Roman"/>
                <w:i/>
                <w:sz w:val="20"/>
                <w:szCs w:val="20"/>
                <w:lang w:eastAsia="sk-SK"/>
              </w:rPr>
              <w:t>Zaviesť jednotný formulár na stavebné povolenia a kolaudačné rozhodnutia, ktoré pomôžu zefektívniť proces stavebného konania poskytovaním kvalitnejších informácií o procese výstavby od povolenia až po kolaudáciu stavieb</w:t>
            </w:r>
            <w:r w:rsidRPr="00B22CFA">
              <w:rPr>
                <w:rFonts w:ascii="Times New Roman" w:eastAsia="Times New Roman" w:hAnsi="Times New Roman" w:cs="Times New Roman"/>
                <w:sz w:val="20"/>
                <w:szCs w:val="20"/>
                <w:lang w:eastAsia="sk-SK"/>
              </w:rPr>
              <w:t xml:space="preserve"> </w:t>
            </w:r>
          </w:p>
          <w:p w:rsidR="008F6C1F" w:rsidRDefault="00851896" w:rsidP="00D17FE3">
            <w:pPr>
              <w:pStyle w:val="Odsekzoznamu"/>
              <w:spacing w:after="120" w:line="240" w:lineRule="auto"/>
              <w:ind w:left="99"/>
              <w:jc w:val="both"/>
              <w:rPr>
                <w:rFonts w:ascii="Times New Roman" w:eastAsia="Times New Roman" w:hAnsi="Times New Roman" w:cs="Times New Roman"/>
                <w:sz w:val="20"/>
                <w:szCs w:val="20"/>
                <w:lang w:eastAsia="sk-SK"/>
              </w:rPr>
            </w:pPr>
            <w:r w:rsidRPr="00A07099">
              <w:rPr>
                <w:rFonts w:ascii="Times New Roman" w:eastAsia="Times New Roman" w:hAnsi="Times New Roman" w:cs="Times New Roman"/>
                <w:sz w:val="20"/>
                <w:szCs w:val="20"/>
                <w:lang w:eastAsia="sk-SK"/>
              </w:rPr>
              <w:t>(ďalej len opatrenia spojené so stavebný</w:t>
            </w:r>
            <w:r w:rsidR="00A07099">
              <w:rPr>
                <w:rFonts w:ascii="Times New Roman" w:eastAsia="Times New Roman" w:hAnsi="Times New Roman" w:cs="Times New Roman"/>
                <w:sz w:val="20"/>
                <w:szCs w:val="20"/>
                <w:lang w:eastAsia="sk-SK"/>
              </w:rPr>
              <w:t>m</w:t>
            </w:r>
            <w:r w:rsidRPr="00A07099">
              <w:rPr>
                <w:rFonts w:ascii="Times New Roman" w:eastAsia="Times New Roman" w:hAnsi="Times New Roman" w:cs="Times New Roman"/>
                <w:sz w:val="20"/>
                <w:szCs w:val="20"/>
                <w:lang w:eastAsia="sk-SK"/>
              </w:rPr>
              <w:t xml:space="preserve"> zákon</w:t>
            </w:r>
            <w:r w:rsidR="00A07099">
              <w:rPr>
                <w:rFonts w:ascii="Times New Roman" w:eastAsia="Times New Roman" w:hAnsi="Times New Roman" w:cs="Times New Roman"/>
                <w:sz w:val="20"/>
                <w:szCs w:val="20"/>
                <w:lang w:eastAsia="sk-SK"/>
              </w:rPr>
              <w:t>om</w:t>
            </w:r>
            <w:r w:rsidRPr="00A07099">
              <w:rPr>
                <w:rFonts w:ascii="Times New Roman" w:eastAsia="Times New Roman" w:hAnsi="Times New Roman" w:cs="Times New Roman"/>
                <w:sz w:val="20"/>
                <w:szCs w:val="20"/>
                <w:lang w:eastAsia="sk-SK"/>
              </w:rPr>
              <w:t>) v znení neskorších predpisov. V súčasnosti okrem SR a ČR žiadna krajina nemá územné konanie, stavebné konanie je v kompetencii stavebných úradov a v praxi ide o</w:t>
            </w:r>
            <w:r w:rsidR="00B22CFA">
              <w:rPr>
                <w:rFonts w:ascii="Times New Roman" w:eastAsia="Times New Roman" w:hAnsi="Times New Roman" w:cs="Times New Roman"/>
                <w:sz w:val="20"/>
                <w:szCs w:val="20"/>
                <w:lang w:eastAsia="sk-SK"/>
              </w:rPr>
              <w:t> </w:t>
            </w:r>
            <w:r w:rsidRPr="00A07099">
              <w:rPr>
                <w:rFonts w:ascii="Times New Roman" w:eastAsia="Times New Roman" w:hAnsi="Times New Roman" w:cs="Times New Roman"/>
                <w:sz w:val="20"/>
                <w:szCs w:val="20"/>
                <w:lang w:eastAsia="sk-SK"/>
              </w:rPr>
              <w:t>rozhodovanie na úrovni mesta/obce. Potreba nového zákona znamená jednotný spôsob tvorby územných plánov, zvýšenie profesionalizácie, zavedenie elektronickej komunikácie a sledovanie procesu stavebného povoľovania od začiatku procesu, zrýchlenie stavebného konania tým, že by sa v územnom konaní doriešilo, čo má byť a za akých podmienok, t. j. jasné podmienky zastavania, rýchlejšie plnenie informačných povinností a</w:t>
            </w:r>
            <w:r w:rsidR="00D17FE3">
              <w:rPr>
                <w:rFonts w:ascii="Times New Roman" w:eastAsia="Times New Roman" w:hAnsi="Times New Roman" w:cs="Times New Roman"/>
                <w:sz w:val="20"/>
                <w:szCs w:val="20"/>
                <w:lang w:eastAsia="sk-SK"/>
              </w:rPr>
              <w:t> </w:t>
            </w:r>
            <w:r w:rsidRPr="00A07099">
              <w:rPr>
                <w:rFonts w:ascii="Times New Roman" w:eastAsia="Times New Roman" w:hAnsi="Times New Roman" w:cs="Times New Roman"/>
                <w:sz w:val="20"/>
                <w:szCs w:val="20"/>
                <w:lang w:eastAsia="sk-SK"/>
              </w:rPr>
              <w:t>obmedzenie časovo náročného osobného styku s úradmi.</w:t>
            </w:r>
          </w:p>
          <w:p w:rsidR="003F1819" w:rsidRDefault="003F1819" w:rsidP="00D17FE3">
            <w:pPr>
              <w:pStyle w:val="Odsekzoznamu"/>
              <w:spacing w:after="120" w:line="240" w:lineRule="auto"/>
              <w:ind w:left="99"/>
              <w:jc w:val="both"/>
              <w:rPr>
                <w:rFonts w:ascii="Times New Roman" w:eastAsia="Times New Roman" w:hAnsi="Times New Roman" w:cs="Times New Roman"/>
                <w:sz w:val="20"/>
                <w:szCs w:val="20"/>
                <w:lang w:eastAsia="sk-SK"/>
              </w:rPr>
            </w:pPr>
          </w:p>
          <w:p w:rsidR="003F1819" w:rsidRPr="00030C4B" w:rsidRDefault="00ED70BA" w:rsidP="00030C4B">
            <w:pPr>
              <w:pStyle w:val="Odsekzoznamu"/>
              <w:numPr>
                <w:ilvl w:val="0"/>
                <w:numId w:val="17"/>
              </w:numPr>
              <w:spacing w:after="120" w:line="240" w:lineRule="auto"/>
              <w:ind w:left="419" w:hanging="357"/>
              <w:contextualSpacing w:val="0"/>
              <w:jc w:val="both"/>
              <w:rPr>
                <w:rFonts w:ascii="Times New Roman" w:eastAsia="Times New Roman" w:hAnsi="Times New Roman" w:cs="Times New Roman"/>
                <w:sz w:val="20"/>
                <w:szCs w:val="20"/>
                <w:lang w:eastAsia="sk-SK"/>
              </w:rPr>
            </w:pPr>
            <w:r w:rsidRPr="00030C4B">
              <w:rPr>
                <w:rFonts w:ascii="Times New Roman" w:eastAsia="Times New Roman" w:hAnsi="Times New Roman" w:cs="Times New Roman"/>
                <w:sz w:val="20"/>
                <w:szCs w:val="20"/>
                <w:lang w:eastAsia="sk-SK"/>
              </w:rPr>
              <w:t xml:space="preserve">Opatrenie (16) </w:t>
            </w:r>
            <w:r w:rsidRPr="00030C4B">
              <w:rPr>
                <w:rFonts w:ascii="Times New Roman" w:eastAsia="Times New Roman" w:hAnsi="Times New Roman" w:cs="Times New Roman"/>
                <w:i/>
                <w:sz w:val="20"/>
                <w:szCs w:val="20"/>
                <w:lang w:eastAsia="sk-SK"/>
              </w:rPr>
              <w:t>Zaviesť službu sledovania zmien na liste vlastníctva v katastri nehnuteľností bude mať pozitívny vplyv na občanov</w:t>
            </w:r>
          </w:p>
          <w:p w:rsidR="00030C4B" w:rsidRPr="00030C4B" w:rsidRDefault="00030C4B" w:rsidP="00030C4B">
            <w:pPr>
              <w:pStyle w:val="Odsekzoznamu"/>
              <w:spacing w:before="120" w:after="120" w:line="240" w:lineRule="auto"/>
              <w:ind w:left="96"/>
              <w:jc w:val="both"/>
              <w:rPr>
                <w:rFonts w:ascii="Times New Roman" w:eastAsia="Times New Roman" w:hAnsi="Times New Roman" w:cs="Times New Roman"/>
                <w:sz w:val="20"/>
                <w:szCs w:val="20"/>
                <w:lang w:eastAsia="sk-SK"/>
              </w:rPr>
            </w:pPr>
            <w:r w:rsidRPr="00030C4B">
              <w:rPr>
                <w:rFonts w:ascii="Times New Roman" w:eastAsia="Times New Roman" w:hAnsi="Times New Roman" w:cs="Times New Roman"/>
                <w:sz w:val="20"/>
                <w:szCs w:val="20"/>
                <w:lang w:eastAsia="sk-SK"/>
              </w:rPr>
              <w:t xml:space="preserve">Vlastník vozidla v súčasnosti môže pri evidovaní vozidiel využívať aj elektronické služby, pri ktorých je povinný byť držiteľom elektronického občianskeho preukazu, tzv. </w:t>
            </w:r>
            <w:proofErr w:type="spellStart"/>
            <w:r w:rsidRPr="00030C4B">
              <w:rPr>
                <w:rFonts w:ascii="Times New Roman" w:eastAsia="Times New Roman" w:hAnsi="Times New Roman" w:cs="Times New Roman"/>
                <w:sz w:val="20"/>
                <w:szCs w:val="20"/>
                <w:lang w:eastAsia="sk-SK"/>
              </w:rPr>
              <w:t>eID</w:t>
            </w:r>
            <w:proofErr w:type="spellEnd"/>
            <w:r w:rsidRPr="00030C4B">
              <w:rPr>
                <w:rFonts w:ascii="Times New Roman" w:eastAsia="Times New Roman" w:hAnsi="Times New Roman" w:cs="Times New Roman"/>
                <w:sz w:val="20"/>
                <w:szCs w:val="20"/>
                <w:lang w:eastAsia="sk-SK"/>
              </w:rPr>
              <w:t xml:space="preserve"> karty. Elektronická služba v súčasnosti funguje tak, že vlastník vozidla vyplní elektronický formulár, podpíše ho kvalifikovaným elektronickým podpisom, potvrdí odoslanie elektronickej žiadosti, uhradí správny poplatok, ak je služba spoplatnená, na výzvu sa dostaví na orgán Policajného zboru SR, príslušného podľa miesta trvalého pobytu alebo sídla nového držiteľa vozidla, k prevzatiu osvedčenia o evidencii a tabuľky s evidenčným číslom – výzva sa zasiela do elektronickej schránky vlastníka vozidla. Pri prevzatí dokladov a tabuliek s evidenčným číslom je potrebné, aby majiteľ vozidla preukázal:  </w:t>
            </w:r>
          </w:p>
          <w:p w:rsidR="00030C4B" w:rsidRPr="00030C4B" w:rsidRDefault="00030C4B" w:rsidP="00030C4B">
            <w:pPr>
              <w:pStyle w:val="Odsekzoznamu"/>
              <w:spacing w:after="120"/>
              <w:ind w:left="371"/>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w:t>
            </w:r>
            <w:r w:rsidRPr="00030C4B">
              <w:rPr>
                <w:rFonts w:ascii="Times New Roman" w:eastAsia="Times New Roman" w:hAnsi="Times New Roman" w:cs="Times New Roman"/>
                <w:sz w:val="20"/>
                <w:szCs w:val="20"/>
                <w:lang w:eastAsia="sk-SK"/>
              </w:rPr>
              <w:t xml:space="preserve">potvrdenie o poistení zodpovednosti za škodu spôsobenú prevádzkou motorového vozidla,  </w:t>
            </w:r>
          </w:p>
          <w:p w:rsidR="00030C4B" w:rsidRPr="00030C4B" w:rsidRDefault="00030C4B" w:rsidP="00030C4B">
            <w:pPr>
              <w:pStyle w:val="Odsekzoznamu"/>
              <w:spacing w:after="120" w:line="240" w:lineRule="auto"/>
              <w:ind w:left="533" w:hanging="154"/>
              <w:jc w:val="both"/>
              <w:rPr>
                <w:rFonts w:ascii="Times New Roman" w:eastAsia="Times New Roman" w:hAnsi="Times New Roman" w:cs="Times New Roman"/>
                <w:sz w:val="20"/>
                <w:szCs w:val="20"/>
                <w:lang w:eastAsia="sk-SK"/>
              </w:rPr>
            </w:pPr>
            <w:r w:rsidRPr="00030C4B">
              <w:rPr>
                <w:rFonts w:ascii="Times New Roman" w:eastAsia="Times New Roman" w:hAnsi="Times New Roman" w:cs="Times New Roman"/>
                <w:sz w:val="20"/>
                <w:szCs w:val="20"/>
                <w:lang w:eastAsia="sk-SK"/>
              </w:rPr>
              <w:t>•</w:t>
            </w:r>
            <w:r>
              <w:rPr>
                <w:rFonts w:ascii="Times New Roman" w:eastAsia="Times New Roman" w:hAnsi="Times New Roman" w:cs="Times New Roman"/>
                <w:sz w:val="20"/>
                <w:szCs w:val="20"/>
                <w:lang w:eastAsia="sk-SK"/>
              </w:rPr>
              <w:t> </w:t>
            </w:r>
            <w:r w:rsidRPr="00030C4B">
              <w:rPr>
                <w:rFonts w:ascii="Times New Roman" w:eastAsia="Times New Roman" w:hAnsi="Times New Roman" w:cs="Times New Roman"/>
                <w:sz w:val="20"/>
                <w:szCs w:val="20"/>
                <w:lang w:eastAsia="sk-SK"/>
              </w:rPr>
              <w:t>oslobodenie od platenia správneho poplatku alebo dôvod zníženia výšky poplatku, ak to bolo súčasťou elektronickej služby.</w:t>
            </w:r>
          </w:p>
          <w:p w:rsidR="00567687" w:rsidRPr="00030C4B" w:rsidRDefault="00030C4B" w:rsidP="00030C4B">
            <w:pPr>
              <w:pStyle w:val="Odsekzoznamu"/>
              <w:spacing w:after="120" w:line="240" w:lineRule="auto"/>
              <w:ind w:left="99"/>
              <w:jc w:val="both"/>
              <w:rPr>
                <w:rFonts w:ascii="Times New Roman" w:eastAsia="Times New Roman" w:hAnsi="Times New Roman" w:cs="Times New Roman"/>
                <w:sz w:val="20"/>
                <w:szCs w:val="20"/>
                <w:lang w:eastAsia="sk-SK"/>
              </w:rPr>
            </w:pPr>
            <w:r w:rsidRPr="00030C4B">
              <w:rPr>
                <w:rFonts w:ascii="Times New Roman" w:eastAsia="Times New Roman" w:hAnsi="Times New Roman" w:cs="Times New Roman"/>
                <w:sz w:val="20"/>
                <w:szCs w:val="20"/>
                <w:lang w:eastAsia="sk-SK"/>
              </w:rPr>
              <w:t xml:space="preserve">Zdokonaliť elektronickú službu zriadením jedného pracoviska, ktoré vlastníkovi vozidla po zaslaní elektronického formulára, zašle prostredníctvom kuriérnej služby osvedčenia o evidencii a tabuľky s evidenčným číslom. Vlastník vozidla si teda bude môcť zaevidovať vozidlo kdekoľvek prostredníctvom elektronickej služby a následne sa nebude musieť dostaviť na príslušný orgán Policajného zboru SR, ale vytvorené jednotné pracovisko </w:t>
            </w:r>
            <w:r w:rsidRPr="00030C4B">
              <w:rPr>
                <w:rFonts w:ascii="Times New Roman" w:eastAsia="Times New Roman" w:hAnsi="Times New Roman" w:cs="Times New Roman"/>
                <w:sz w:val="20"/>
                <w:szCs w:val="20"/>
                <w:lang w:eastAsia="sk-SK"/>
              </w:rPr>
              <w:lastRenderedPageBreak/>
              <w:t>mu všetky potrebné dokumenty zašle prostredníctvom kuriéra.</w:t>
            </w:r>
          </w:p>
        </w:tc>
      </w:tr>
      <w:tr w:rsidR="00E76452" w:rsidRPr="00A12DE5" w:rsidTr="00E76883">
        <w:trPr>
          <w:trHeight w:val="212"/>
        </w:trPr>
        <w:tc>
          <w:tcPr>
            <w:tcW w:w="9371" w:type="dxa"/>
          </w:tcPr>
          <w:p w:rsidR="00E76452" w:rsidRPr="00A12DE5" w:rsidRDefault="00E76452" w:rsidP="00B22CFA">
            <w:pPr>
              <w:widowControl w:val="0"/>
              <w:adjustRightInd w:val="0"/>
              <w:jc w:val="both"/>
              <w:textAlignment w:val="baseline"/>
              <w:rPr>
                <w:i/>
              </w:rPr>
            </w:pPr>
            <w:r w:rsidRPr="00A12DE5">
              <w:rPr>
                <w:i/>
              </w:rPr>
              <w:lastRenderedPageBreak/>
              <w:t>Nová služba (konkretizujte a popíšte)</w:t>
            </w:r>
          </w:p>
        </w:tc>
      </w:tr>
      <w:tr w:rsidR="00E76452" w:rsidRPr="00A12DE5" w:rsidTr="00E76883">
        <w:trPr>
          <w:trHeight w:val="598"/>
        </w:trPr>
        <w:tc>
          <w:tcPr>
            <w:tcW w:w="9371" w:type="dxa"/>
          </w:tcPr>
          <w:p w:rsidR="00E76452" w:rsidRDefault="00526611" w:rsidP="00007468">
            <w:pPr>
              <w:pStyle w:val="Odsekzoznamu"/>
              <w:widowControl w:val="0"/>
              <w:adjustRightInd w:val="0"/>
              <w:spacing w:after="0" w:line="240" w:lineRule="auto"/>
              <w:ind w:left="253" w:hanging="253"/>
              <w:jc w:val="both"/>
              <w:textAlignment w:val="baseline"/>
              <w:rPr>
                <w:rFonts w:ascii="Times New Roman" w:hAnsi="Times New Roman" w:cs="Times New Roman"/>
                <w:sz w:val="20"/>
                <w:szCs w:val="20"/>
              </w:rPr>
            </w:pPr>
            <w:r>
              <w:rPr>
                <w:rFonts w:ascii="Times New Roman" w:hAnsi="Times New Roman" w:cs="Times New Roman"/>
                <w:sz w:val="20"/>
                <w:szCs w:val="20"/>
              </w:rPr>
              <w:t>1.  </w:t>
            </w:r>
            <w:r w:rsidR="00E76452" w:rsidRPr="00B22CFA">
              <w:rPr>
                <w:rFonts w:ascii="Times New Roman" w:hAnsi="Times New Roman" w:cs="Times New Roman"/>
                <w:sz w:val="20"/>
                <w:szCs w:val="20"/>
              </w:rPr>
              <w:t>Získanie výpisu zo živnostenského registra aj na obslužnom mieste občana IOMO - službu poskytuje Slovenská pošta na pracoviskách rovnomerne rozmiestnených po celom Slovensku.</w:t>
            </w:r>
          </w:p>
          <w:p w:rsidR="002547ED" w:rsidRDefault="00526611" w:rsidP="00007468">
            <w:pPr>
              <w:pStyle w:val="Odsekzoznamu"/>
              <w:widowControl w:val="0"/>
              <w:adjustRightInd w:val="0"/>
              <w:spacing w:after="0" w:line="240" w:lineRule="auto"/>
              <w:ind w:left="239" w:hanging="238"/>
              <w:jc w:val="both"/>
              <w:textAlignment w:val="baseline"/>
              <w:rPr>
                <w:rFonts w:ascii="Times New Roman" w:hAnsi="Times New Roman" w:cs="Times New Roman"/>
                <w:sz w:val="20"/>
                <w:szCs w:val="20"/>
              </w:rPr>
            </w:pPr>
            <w:r>
              <w:rPr>
                <w:rFonts w:ascii="Times New Roman" w:hAnsi="Times New Roman" w:cs="Times New Roman"/>
                <w:sz w:val="20"/>
                <w:szCs w:val="20"/>
              </w:rPr>
              <w:t xml:space="preserve">2. </w:t>
            </w:r>
            <w:r w:rsidR="00D17FE3">
              <w:rPr>
                <w:rFonts w:ascii="Times New Roman" w:hAnsi="Times New Roman" w:cs="Times New Roman"/>
                <w:sz w:val="20"/>
                <w:szCs w:val="20"/>
              </w:rPr>
              <w:t>Jednotný spôsob tvorby územných plánov, zvýšenie profesionalizácie výkonu štátnej stavebnej správy, zavedenie elektronickej komunikácie, zavedenie elektronickej komunikácie  a sledovanie procesu stavebného povoľovania, zrýchlenie stavebného konania.</w:t>
            </w:r>
          </w:p>
          <w:p w:rsidR="00030C4B" w:rsidRPr="00A07099" w:rsidRDefault="00030C4B" w:rsidP="004A1D60">
            <w:pPr>
              <w:pStyle w:val="Odsekzoznamu"/>
              <w:widowControl w:val="0"/>
              <w:adjustRightInd w:val="0"/>
              <w:spacing w:after="0" w:line="240" w:lineRule="auto"/>
              <w:ind w:left="239" w:hanging="238"/>
              <w:jc w:val="both"/>
              <w:textAlignment w:val="baseline"/>
            </w:pPr>
            <w:r>
              <w:rPr>
                <w:rFonts w:ascii="Times New Roman" w:hAnsi="Times New Roman" w:cs="Times New Roman"/>
                <w:sz w:val="20"/>
                <w:szCs w:val="20"/>
              </w:rPr>
              <w:t xml:space="preserve">3. </w:t>
            </w:r>
            <w:r w:rsidRPr="00030C4B">
              <w:rPr>
                <w:rFonts w:ascii="Times New Roman" w:hAnsi="Times New Roman" w:cs="Times New Roman"/>
                <w:sz w:val="20"/>
                <w:szCs w:val="20"/>
              </w:rPr>
              <w:t>Zjednodušenie vybavenia elektronických podaní na úseku evidovania vozidiel</w:t>
            </w:r>
            <w:r w:rsidRPr="00030C4B">
              <w:t>.</w:t>
            </w:r>
          </w:p>
        </w:tc>
      </w:tr>
      <w:tr w:rsidR="00E76452" w:rsidRPr="00A12DE5" w:rsidTr="00E76883">
        <w:trPr>
          <w:trHeight w:val="248"/>
        </w:trPr>
        <w:tc>
          <w:tcPr>
            <w:tcW w:w="9371" w:type="dxa"/>
          </w:tcPr>
          <w:p w:rsidR="00E76452" w:rsidRPr="00A12DE5" w:rsidRDefault="00E76452" w:rsidP="00B22CFA">
            <w:pPr>
              <w:widowControl w:val="0"/>
              <w:adjustRightInd w:val="0"/>
              <w:jc w:val="both"/>
              <w:textAlignment w:val="baseline"/>
              <w:rPr>
                <w:b/>
                <w:sz w:val="24"/>
                <w:szCs w:val="24"/>
              </w:rPr>
            </w:pPr>
            <w:r w:rsidRPr="00A12DE5">
              <w:rPr>
                <w:b/>
                <w:sz w:val="24"/>
                <w:szCs w:val="24"/>
              </w:rPr>
              <w:t>7.1.2 Špecifikácia služby verejnej správy, ktorá je dotknutá návrhom</w:t>
            </w:r>
          </w:p>
        </w:tc>
      </w:tr>
      <w:tr w:rsidR="00E76452" w:rsidRPr="00A12DE5" w:rsidTr="00E76883">
        <w:trPr>
          <w:trHeight w:val="248"/>
        </w:trPr>
        <w:tc>
          <w:tcPr>
            <w:tcW w:w="9371" w:type="dxa"/>
          </w:tcPr>
          <w:p w:rsidR="00E76452" w:rsidRPr="00A12DE5" w:rsidRDefault="00E76452" w:rsidP="00B22CFA">
            <w:pPr>
              <w:widowControl w:val="0"/>
              <w:adjustRightInd w:val="0"/>
              <w:jc w:val="both"/>
              <w:textAlignment w:val="baseline"/>
              <w:rPr>
                <w:i/>
              </w:rPr>
            </w:pPr>
            <w:r w:rsidRPr="00A12DE5">
              <w:rPr>
                <w:i/>
              </w:rPr>
              <w:t xml:space="preserve">Názov služby </w:t>
            </w:r>
          </w:p>
        </w:tc>
      </w:tr>
      <w:tr w:rsidR="00E76452" w:rsidRPr="00A12DE5" w:rsidTr="00E76883">
        <w:trPr>
          <w:trHeight w:val="545"/>
        </w:trPr>
        <w:tc>
          <w:tcPr>
            <w:tcW w:w="9371" w:type="dxa"/>
          </w:tcPr>
          <w:p w:rsidR="00E76452" w:rsidRDefault="00D17FE3" w:rsidP="00B22CFA">
            <w:pPr>
              <w:widowControl w:val="0"/>
              <w:adjustRightInd w:val="0"/>
              <w:jc w:val="both"/>
              <w:textAlignment w:val="baseline"/>
            </w:pPr>
            <w:r>
              <w:t xml:space="preserve">1. </w:t>
            </w:r>
            <w:r w:rsidR="00E76452" w:rsidRPr="00A12DE5">
              <w:t>Získať výpis zo živnostenského registra na integrovaných obslužných miestach občana (IOMO).</w:t>
            </w:r>
          </w:p>
          <w:p w:rsidR="00E76452" w:rsidRDefault="00D17FE3" w:rsidP="00030C4B">
            <w:pPr>
              <w:widowControl w:val="0"/>
              <w:adjustRightInd w:val="0"/>
              <w:jc w:val="both"/>
              <w:textAlignment w:val="baseline"/>
            </w:pPr>
            <w:r>
              <w:t xml:space="preserve">2. </w:t>
            </w:r>
            <w:r w:rsidR="0093021F">
              <w:t>Stavebné konanie</w:t>
            </w:r>
            <w:r w:rsidR="00030C4B">
              <w:t>.</w:t>
            </w:r>
          </w:p>
          <w:p w:rsidR="00030C4B" w:rsidRPr="000102F6" w:rsidRDefault="00030C4B" w:rsidP="00030C4B">
            <w:pPr>
              <w:widowControl w:val="0"/>
              <w:adjustRightInd w:val="0"/>
              <w:jc w:val="both"/>
              <w:textAlignment w:val="baseline"/>
            </w:pPr>
            <w:r>
              <w:t>3. E</w:t>
            </w:r>
            <w:r w:rsidRPr="00030C4B">
              <w:t>lektronick</w:t>
            </w:r>
            <w:r>
              <w:t>é</w:t>
            </w:r>
            <w:r w:rsidRPr="00030C4B">
              <w:t xml:space="preserve"> podan</w:t>
            </w:r>
            <w:r>
              <w:t>ie</w:t>
            </w:r>
            <w:r w:rsidRPr="00030C4B">
              <w:t xml:space="preserve"> na úseku evidovania vozidiel</w:t>
            </w:r>
            <w:r>
              <w:t>.</w:t>
            </w:r>
            <w:bookmarkStart w:id="0" w:name="_GoBack"/>
            <w:bookmarkEnd w:id="0"/>
          </w:p>
        </w:tc>
      </w:tr>
      <w:tr w:rsidR="00E76452" w:rsidRPr="00A12DE5" w:rsidTr="00E76883">
        <w:trPr>
          <w:trHeight w:val="248"/>
        </w:trPr>
        <w:tc>
          <w:tcPr>
            <w:tcW w:w="9371" w:type="dxa"/>
          </w:tcPr>
          <w:p w:rsidR="00E76452" w:rsidRPr="00A12DE5" w:rsidRDefault="00E76452" w:rsidP="00B22CFA">
            <w:pPr>
              <w:widowControl w:val="0"/>
              <w:adjustRightInd w:val="0"/>
              <w:jc w:val="both"/>
              <w:textAlignment w:val="baseline"/>
              <w:rPr>
                <w:b/>
                <w:i/>
              </w:rPr>
            </w:pPr>
            <w:r w:rsidRPr="00A12DE5">
              <w:rPr>
                <w:i/>
              </w:rPr>
              <w:t>Platná právna úprava, na základe ktorej je služba poskytovaná (ak ide o zmenu existujúcej služby)</w:t>
            </w:r>
          </w:p>
        </w:tc>
      </w:tr>
      <w:tr w:rsidR="00E76452" w:rsidRPr="00A12DE5" w:rsidTr="00E76883">
        <w:trPr>
          <w:trHeight w:val="630"/>
        </w:trPr>
        <w:tc>
          <w:tcPr>
            <w:tcW w:w="9371" w:type="dxa"/>
          </w:tcPr>
          <w:p w:rsidR="00E76452" w:rsidRPr="00A12DE5" w:rsidRDefault="00E76452" w:rsidP="00B22CFA">
            <w:pPr>
              <w:widowControl w:val="0"/>
              <w:adjustRightInd w:val="0"/>
              <w:jc w:val="both"/>
              <w:textAlignment w:val="baseline"/>
              <w:rPr>
                <w:b/>
                <w:i/>
              </w:rPr>
            </w:pPr>
          </w:p>
        </w:tc>
      </w:tr>
      <w:tr w:rsidR="00E76452" w:rsidRPr="00A12DE5" w:rsidTr="00E76883">
        <w:trPr>
          <w:trHeight w:val="220"/>
        </w:trPr>
        <w:tc>
          <w:tcPr>
            <w:tcW w:w="9371" w:type="dxa"/>
          </w:tcPr>
          <w:p w:rsidR="00E76452" w:rsidRPr="00A12DE5" w:rsidRDefault="00E76452" w:rsidP="00B22CFA">
            <w:pPr>
              <w:widowControl w:val="0"/>
              <w:adjustRightInd w:val="0"/>
              <w:jc w:val="both"/>
              <w:textAlignment w:val="baseline"/>
              <w:rPr>
                <w:b/>
                <w:i/>
              </w:rPr>
            </w:pPr>
            <w:r w:rsidRPr="00A12DE5">
              <w:rPr>
                <w:i/>
              </w:rPr>
              <w:t xml:space="preserve">Subjekt, ktorý je na základe platnej právnej úpravy oprávnený službu poskytovať </w:t>
            </w:r>
          </w:p>
        </w:tc>
      </w:tr>
      <w:tr w:rsidR="00E76452" w:rsidRPr="00A12DE5" w:rsidTr="00E76883">
        <w:trPr>
          <w:trHeight w:val="219"/>
        </w:trPr>
        <w:tc>
          <w:tcPr>
            <w:tcW w:w="9371" w:type="dxa"/>
          </w:tcPr>
          <w:p w:rsidR="00D17FE3" w:rsidRPr="00007468" w:rsidRDefault="00007468" w:rsidP="00007468">
            <w:pPr>
              <w:widowControl w:val="0"/>
              <w:adjustRightInd w:val="0"/>
              <w:jc w:val="both"/>
              <w:textAlignment w:val="baseline"/>
            </w:pPr>
            <w:r>
              <w:t xml:space="preserve">1. </w:t>
            </w:r>
            <w:r w:rsidR="00E76452" w:rsidRPr="00007468">
              <w:t>Ministerstvo vnútra SR</w:t>
            </w:r>
            <w:r w:rsidR="00010E60" w:rsidRPr="00007468">
              <w:t xml:space="preserve"> - prevádzkovateľ informačného systému živnostenský register SR</w:t>
            </w:r>
            <w:r w:rsidR="00D17FE3" w:rsidRPr="00007468">
              <w:t>.</w:t>
            </w:r>
          </w:p>
          <w:p w:rsidR="00E76452" w:rsidRDefault="00007468" w:rsidP="00030C4B">
            <w:pPr>
              <w:pStyle w:val="Odsekzoznamu"/>
              <w:widowControl w:val="0"/>
              <w:adjustRightInd w:val="0"/>
              <w:spacing w:after="0" w:line="240" w:lineRule="auto"/>
              <w:ind w:left="229" w:hanging="229"/>
              <w:jc w:val="both"/>
              <w:textAlignment w:val="baseline"/>
              <w:rPr>
                <w:rFonts w:ascii="Times New Roman" w:hAnsi="Times New Roman" w:cs="Times New Roman"/>
                <w:sz w:val="20"/>
                <w:szCs w:val="20"/>
              </w:rPr>
            </w:pPr>
            <w:r>
              <w:rPr>
                <w:rFonts w:ascii="Times New Roman" w:hAnsi="Times New Roman" w:cs="Times New Roman"/>
                <w:sz w:val="20"/>
                <w:szCs w:val="20"/>
              </w:rPr>
              <w:t>2.</w:t>
            </w:r>
            <w:r w:rsidR="004A1D60">
              <w:rPr>
                <w:rFonts w:ascii="Times New Roman" w:hAnsi="Times New Roman" w:cs="Times New Roman"/>
                <w:sz w:val="20"/>
                <w:szCs w:val="20"/>
              </w:rPr>
              <w:t> </w:t>
            </w:r>
            <w:r w:rsidR="00F74B4A" w:rsidRPr="00D17FE3">
              <w:rPr>
                <w:rFonts w:ascii="Times New Roman" w:hAnsi="Times New Roman" w:cs="Times New Roman"/>
                <w:sz w:val="20"/>
                <w:szCs w:val="20"/>
              </w:rPr>
              <w:t>O</w:t>
            </w:r>
            <w:r w:rsidR="00F74B4A" w:rsidRPr="00744ADA">
              <w:rPr>
                <w:rFonts w:ascii="Times New Roman" w:hAnsi="Times New Roman" w:cs="Times New Roman"/>
                <w:sz w:val="20"/>
                <w:szCs w:val="20"/>
              </w:rPr>
              <w:t xml:space="preserve">bce, samosprávne kraje a krajské stavebné úrady, v prípade územných plánov vojenských obvodov </w:t>
            </w:r>
            <w:r w:rsidR="00F74B4A" w:rsidRPr="00526611">
              <w:rPr>
                <w:rFonts w:ascii="Times New Roman" w:hAnsi="Times New Roman" w:cs="Times New Roman"/>
                <w:sz w:val="20"/>
                <w:szCs w:val="20"/>
              </w:rPr>
              <w:t>Ministerstvo obrany</w:t>
            </w:r>
            <w:r w:rsidR="00F74B4A" w:rsidRPr="00744ADA">
              <w:rPr>
                <w:rFonts w:ascii="Times New Roman" w:hAnsi="Times New Roman" w:cs="Times New Roman"/>
                <w:sz w:val="20"/>
                <w:szCs w:val="20"/>
              </w:rPr>
              <w:t xml:space="preserve"> SR</w:t>
            </w:r>
            <w:r w:rsidR="00030C4B">
              <w:rPr>
                <w:rFonts w:ascii="Times New Roman" w:hAnsi="Times New Roman" w:cs="Times New Roman"/>
                <w:sz w:val="20"/>
                <w:szCs w:val="20"/>
              </w:rPr>
              <w:t>.</w:t>
            </w:r>
          </w:p>
          <w:p w:rsidR="00030C4B" w:rsidRPr="00744ADA" w:rsidRDefault="00030C4B" w:rsidP="004A1D60">
            <w:pPr>
              <w:pStyle w:val="Odsekzoznamu"/>
              <w:widowControl w:val="0"/>
              <w:adjustRightInd w:val="0"/>
              <w:spacing w:after="0" w:line="240" w:lineRule="auto"/>
              <w:ind w:left="229" w:hanging="229"/>
              <w:jc w:val="both"/>
              <w:textAlignment w:val="baseline"/>
              <w:rPr>
                <w:rFonts w:ascii="Times New Roman" w:hAnsi="Times New Roman" w:cs="Times New Roman"/>
                <w:sz w:val="20"/>
                <w:szCs w:val="20"/>
              </w:rPr>
            </w:pPr>
            <w:r>
              <w:rPr>
                <w:rFonts w:ascii="Times New Roman" w:hAnsi="Times New Roman" w:cs="Times New Roman"/>
                <w:sz w:val="20"/>
                <w:szCs w:val="20"/>
              </w:rPr>
              <w:t xml:space="preserve">3. </w:t>
            </w:r>
            <w:r w:rsidR="004A1D60">
              <w:rPr>
                <w:rFonts w:ascii="Times New Roman" w:hAnsi="Times New Roman" w:cs="Times New Roman"/>
                <w:sz w:val="20"/>
                <w:szCs w:val="20"/>
              </w:rPr>
              <w:t>Ministerstvo vnútra SR.</w:t>
            </w:r>
          </w:p>
        </w:tc>
      </w:tr>
      <w:tr w:rsidR="00E76452" w:rsidRPr="00A12DE5" w:rsidTr="00E76883">
        <w:trPr>
          <w:trHeight w:val="423"/>
        </w:trPr>
        <w:tc>
          <w:tcPr>
            <w:tcW w:w="9371" w:type="dxa"/>
          </w:tcPr>
          <w:p w:rsidR="00E76452" w:rsidRPr="00A12DE5" w:rsidRDefault="00E76452" w:rsidP="00B22CFA">
            <w:pPr>
              <w:widowControl w:val="0"/>
              <w:adjustRightInd w:val="0"/>
              <w:jc w:val="both"/>
              <w:textAlignment w:val="baseline"/>
              <w:rPr>
                <w:b/>
                <w:i/>
              </w:rPr>
            </w:pPr>
            <w:r w:rsidRPr="00A12DE5">
              <w:rPr>
                <w:b/>
                <w:sz w:val="24"/>
                <w:szCs w:val="24"/>
              </w:rPr>
              <w:t xml:space="preserve">7.1.3 O aký vplyv na službu verejnej správy ide? </w:t>
            </w:r>
          </w:p>
        </w:tc>
      </w:tr>
      <w:tr w:rsidR="00E76452" w:rsidRPr="00A12DE5" w:rsidTr="00E76883">
        <w:trPr>
          <w:trHeight w:val="256"/>
        </w:trPr>
        <w:tc>
          <w:tcPr>
            <w:tcW w:w="9371" w:type="dxa"/>
          </w:tcPr>
          <w:p w:rsidR="00E76452" w:rsidRPr="00A12DE5" w:rsidRDefault="00E76452" w:rsidP="00B22CFA">
            <w:pPr>
              <w:widowControl w:val="0"/>
              <w:adjustRightInd w:val="0"/>
              <w:jc w:val="both"/>
              <w:textAlignment w:val="baseline"/>
              <w:rPr>
                <w:b/>
                <w:i/>
              </w:rPr>
            </w:pPr>
            <w:r w:rsidRPr="00A12DE5">
              <w:rPr>
                <w:i/>
              </w:rPr>
              <w:t xml:space="preserve">Priamy vplyv (popíšte) </w:t>
            </w:r>
          </w:p>
        </w:tc>
      </w:tr>
      <w:tr w:rsidR="00E76452" w:rsidRPr="00A12DE5" w:rsidTr="00E76883">
        <w:trPr>
          <w:trHeight w:val="432"/>
        </w:trPr>
        <w:tc>
          <w:tcPr>
            <w:tcW w:w="9371" w:type="dxa"/>
          </w:tcPr>
          <w:p w:rsidR="00E76452" w:rsidRPr="00A12DE5" w:rsidRDefault="00E76452" w:rsidP="00B22CFA">
            <w:pPr>
              <w:widowControl w:val="0"/>
              <w:adjustRightInd w:val="0"/>
              <w:jc w:val="both"/>
              <w:textAlignment w:val="baseline"/>
              <w:rPr>
                <w:b/>
                <w:i/>
              </w:rPr>
            </w:pPr>
          </w:p>
        </w:tc>
      </w:tr>
      <w:tr w:rsidR="00E76452" w:rsidRPr="00A12DE5" w:rsidTr="00E76883">
        <w:trPr>
          <w:trHeight w:val="20"/>
        </w:trPr>
        <w:tc>
          <w:tcPr>
            <w:tcW w:w="9371" w:type="dxa"/>
          </w:tcPr>
          <w:p w:rsidR="00E76452" w:rsidRPr="00A12DE5" w:rsidRDefault="00E76452" w:rsidP="00B22CFA">
            <w:pPr>
              <w:widowControl w:val="0"/>
              <w:adjustRightInd w:val="0"/>
              <w:jc w:val="both"/>
              <w:textAlignment w:val="baseline"/>
              <w:rPr>
                <w:b/>
                <w:i/>
              </w:rPr>
            </w:pPr>
            <w:r w:rsidRPr="00A12DE5">
              <w:rPr>
                <w:i/>
              </w:rPr>
              <w:t xml:space="preserve">Nepriamy vplyv (popíšte) </w:t>
            </w:r>
          </w:p>
        </w:tc>
      </w:tr>
      <w:tr w:rsidR="00E76452" w:rsidRPr="00A12DE5" w:rsidTr="00E76883">
        <w:trPr>
          <w:trHeight w:val="361"/>
        </w:trPr>
        <w:tc>
          <w:tcPr>
            <w:tcW w:w="9371" w:type="dxa"/>
          </w:tcPr>
          <w:p w:rsidR="00E76452" w:rsidRPr="00A12DE5" w:rsidRDefault="00E76452" w:rsidP="00B22CFA">
            <w:pPr>
              <w:widowControl w:val="0"/>
              <w:adjustRightInd w:val="0"/>
              <w:jc w:val="both"/>
              <w:textAlignment w:val="baseline"/>
              <w:rPr>
                <w:b/>
                <w:i/>
              </w:rPr>
            </w:pPr>
          </w:p>
        </w:tc>
      </w:tr>
      <w:tr w:rsidR="00E76452" w:rsidRPr="00A12DE5" w:rsidTr="00E76883">
        <w:trPr>
          <w:trHeight w:val="20"/>
        </w:trPr>
        <w:tc>
          <w:tcPr>
            <w:tcW w:w="9371" w:type="dxa"/>
            <w:shd w:val="clear" w:color="auto" w:fill="C0C0C0"/>
            <w:vAlign w:val="center"/>
          </w:tcPr>
          <w:p w:rsidR="00E76452" w:rsidRPr="00A12DE5" w:rsidRDefault="00E76452" w:rsidP="00B22CFA">
            <w:pPr>
              <w:widowControl w:val="0"/>
              <w:adjustRightInd w:val="0"/>
              <w:jc w:val="center"/>
              <w:textAlignment w:val="baseline"/>
              <w:rPr>
                <w:b/>
                <w:sz w:val="28"/>
                <w:szCs w:val="28"/>
              </w:rPr>
            </w:pPr>
            <w:r w:rsidRPr="00A12DE5">
              <w:rPr>
                <w:b/>
                <w:sz w:val="28"/>
                <w:szCs w:val="28"/>
              </w:rPr>
              <w:t>7.2 Vplyv služieb verejnej správy na občana</w:t>
            </w:r>
          </w:p>
        </w:tc>
      </w:tr>
      <w:tr w:rsidR="00E76452" w:rsidRPr="00A12DE5" w:rsidTr="00E76883">
        <w:trPr>
          <w:trHeight w:val="388"/>
        </w:trPr>
        <w:tc>
          <w:tcPr>
            <w:tcW w:w="9371" w:type="dxa"/>
          </w:tcPr>
          <w:p w:rsidR="00E76452" w:rsidRPr="00A12DE5" w:rsidRDefault="00E76452" w:rsidP="00B22CFA">
            <w:pPr>
              <w:widowControl w:val="0"/>
              <w:adjustRightInd w:val="0"/>
              <w:jc w:val="both"/>
              <w:textAlignment w:val="baseline"/>
              <w:rPr>
                <w:b/>
                <w:sz w:val="24"/>
                <w:szCs w:val="24"/>
              </w:rPr>
            </w:pPr>
            <w:r w:rsidRPr="00A12DE5">
              <w:rPr>
                <w:b/>
                <w:sz w:val="24"/>
                <w:szCs w:val="24"/>
              </w:rPr>
              <w:t xml:space="preserve">7.2.1 Náklady </w:t>
            </w:r>
          </w:p>
        </w:tc>
      </w:tr>
      <w:tr w:rsidR="00E76452" w:rsidRPr="00A12DE5" w:rsidTr="00E76883">
        <w:trPr>
          <w:trHeight w:val="226"/>
        </w:trPr>
        <w:tc>
          <w:tcPr>
            <w:tcW w:w="9371" w:type="dxa"/>
          </w:tcPr>
          <w:p w:rsidR="00E76452" w:rsidRPr="00A12DE5" w:rsidRDefault="00E76452" w:rsidP="00B22CFA">
            <w:pPr>
              <w:widowControl w:val="0"/>
              <w:adjustRightInd w:val="0"/>
              <w:jc w:val="both"/>
              <w:textAlignment w:val="baseline"/>
              <w:rPr>
                <w:b/>
                <w:sz w:val="24"/>
                <w:szCs w:val="24"/>
              </w:rPr>
            </w:pPr>
            <w:r w:rsidRPr="00A12DE5">
              <w:rPr>
                <w:i/>
                <w:sz w:val="24"/>
                <w:szCs w:val="24"/>
              </w:rPr>
              <w:t xml:space="preserve">Zníženie priamych finančných nákladov </w:t>
            </w:r>
          </w:p>
        </w:tc>
      </w:tr>
      <w:tr w:rsidR="00E76452" w:rsidRPr="00A12DE5" w:rsidTr="00E76883">
        <w:trPr>
          <w:trHeight w:val="486"/>
        </w:trPr>
        <w:tc>
          <w:tcPr>
            <w:tcW w:w="9371" w:type="dxa"/>
          </w:tcPr>
          <w:p w:rsidR="00E76452" w:rsidRPr="00A12DE5" w:rsidRDefault="00E76452" w:rsidP="00B22CFA">
            <w:pPr>
              <w:widowControl w:val="0"/>
              <w:adjustRightInd w:val="0"/>
              <w:jc w:val="both"/>
              <w:textAlignment w:val="baseline"/>
            </w:pPr>
            <w:r w:rsidRPr="00A12DE5">
              <w:t>Nie.</w:t>
            </w:r>
          </w:p>
        </w:tc>
      </w:tr>
      <w:tr w:rsidR="00E76452" w:rsidRPr="00A12DE5" w:rsidTr="00E76883">
        <w:trPr>
          <w:trHeight w:val="294"/>
        </w:trPr>
        <w:tc>
          <w:tcPr>
            <w:tcW w:w="9371" w:type="dxa"/>
          </w:tcPr>
          <w:p w:rsidR="00E76452" w:rsidRPr="00A12DE5" w:rsidRDefault="00E76452" w:rsidP="00B22CFA">
            <w:pPr>
              <w:widowControl w:val="0"/>
              <w:adjustRightInd w:val="0"/>
              <w:jc w:val="both"/>
              <w:textAlignment w:val="baseline"/>
              <w:rPr>
                <w:i/>
                <w:sz w:val="24"/>
                <w:szCs w:val="24"/>
              </w:rPr>
            </w:pPr>
            <w:r w:rsidRPr="00A12DE5">
              <w:rPr>
                <w:i/>
                <w:sz w:val="24"/>
                <w:szCs w:val="24"/>
              </w:rPr>
              <w:t>Zvýšenie priamych finančných nákladov</w:t>
            </w:r>
          </w:p>
        </w:tc>
      </w:tr>
      <w:tr w:rsidR="00E76452" w:rsidRPr="00A12DE5" w:rsidTr="00E76883">
        <w:trPr>
          <w:trHeight w:val="572"/>
        </w:trPr>
        <w:tc>
          <w:tcPr>
            <w:tcW w:w="9371" w:type="dxa"/>
          </w:tcPr>
          <w:p w:rsidR="00E76452" w:rsidRPr="00A12DE5" w:rsidRDefault="00E76452" w:rsidP="00B22CFA">
            <w:pPr>
              <w:widowControl w:val="0"/>
              <w:adjustRightInd w:val="0"/>
              <w:jc w:val="both"/>
              <w:textAlignment w:val="baseline"/>
              <w:rPr>
                <w:i/>
              </w:rPr>
            </w:pPr>
            <w:r w:rsidRPr="00A12DE5">
              <w:t>Nie.</w:t>
            </w:r>
          </w:p>
        </w:tc>
      </w:tr>
      <w:tr w:rsidR="00E76452" w:rsidRPr="00A12DE5" w:rsidTr="00E76883">
        <w:trPr>
          <w:trHeight w:val="214"/>
        </w:trPr>
        <w:tc>
          <w:tcPr>
            <w:tcW w:w="9371" w:type="dxa"/>
          </w:tcPr>
          <w:p w:rsidR="00E76452" w:rsidRPr="00A12DE5" w:rsidRDefault="00E76452" w:rsidP="00B22CFA">
            <w:pPr>
              <w:widowControl w:val="0"/>
              <w:adjustRightInd w:val="0"/>
              <w:jc w:val="both"/>
              <w:textAlignment w:val="baseline"/>
              <w:rPr>
                <w:i/>
                <w:sz w:val="24"/>
                <w:szCs w:val="24"/>
              </w:rPr>
            </w:pPr>
            <w:r w:rsidRPr="00A12DE5">
              <w:rPr>
                <w:i/>
                <w:sz w:val="24"/>
                <w:szCs w:val="24"/>
              </w:rPr>
              <w:t>Zníženie nepriamych finančných nákladov</w:t>
            </w:r>
          </w:p>
        </w:tc>
      </w:tr>
      <w:tr w:rsidR="00E76452" w:rsidRPr="00A12DE5" w:rsidTr="00E76883">
        <w:trPr>
          <w:trHeight w:val="707"/>
        </w:trPr>
        <w:tc>
          <w:tcPr>
            <w:tcW w:w="9371" w:type="dxa"/>
          </w:tcPr>
          <w:p w:rsidR="00E76452" w:rsidRPr="00A12DE5" w:rsidRDefault="00E76452" w:rsidP="00B22CFA">
            <w:pPr>
              <w:widowControl w:val="0"/>
              <w:adjustRightInd w:val="0"/>
              <w:jc w:val="both"/>
              <w:textAlignment w:val="baseline"/>
              <w:rPr>
                <w:i/>
              </w:rPr>
            </w:pPr>
            <w:r w:rsidRPr="00A12DE5">
              <w:t>Nie.</w:t>
            </w:r>
          </w:p>
        </w:tc>
      </w:tr>
      <w:tr w:rsidR="00E76452" w:rsidRPr="00A12DE5" w:rsidTr="00E76883">
        <w:trPr>
          <w:trHeight w:val="388"/>
        </w:trPr>
        <w:tc>
          <w:tcPr>
            <w:tcW w:w="9371" w:type="dxa"/>
          </w:tcPr>
          <w:p w:rsidR="00E76452" w:rsidRPr="00A12DE5" w:rsidRDefault="00E76452" w:rsidP="00B22CFA">
            <w:pPr>
              <w:widowControl w:val="0"/>
              <w:adjustRightInd w:val="0"/>
              <w:jc w:val="both"/>
              <w:textAlignment w:val="baseline"/>
              <w:rPr>
                <w:i/>
                <w:sz w:val="24"/>
                <w:szCs w:val="24"/>
              </w:rPr>
            </w:pPr>
            <w:r w:rsidRPr="00A12DE5">
              <w:rPr>
                <w:i/>
                <w:sz w:val="24"/>
                <w:szCs w:val="24"/>
              </w:rPr>
              <w:t>Zvýšenie nepriamych finančných nákladov</w:t>
            </w:r>
          </w:p>
        </w:tc>
      </w:tr>
      <w:tr w:rsidR="00E76452" w:rsidRPr="00B22CFA" w:rsidTr="00B22CFA">
        <w:trPr>
          <w:trHeight w:val="575"/>
        </w:trPr>
        <w:tc>
          <w:tcPr>
            <w:tcW w:w="9371" w:type="dxa"/>
          </w:tcPr>
          <w:p w:rsidR="00E76452" w:rsidRPr="00B22CFA" w:rsidRDefault="00E76452" w:rsidP="00B22CFA">
            <w:pPr>
              <w:widowControl w:val="0"/>
              <w:adjustRightInd w:val="0"/>
              <w:jc w:val="both"/>
              <w:textAlignment w:val="baseline"/>
              <w:rPr>
                <w:i/>
              </w:rPr>
            </w:pPr>
            <w:r w:rsidRPr="00B22CFA">
              <w:t>Nie.</w:t>
            </w:r>
          </w:p>
        </w:tc>
      </w:tr>
      <w:tr w:rsidR="00E76452" w:rsidRPr="00A12DE5" w:rsidTr="00E76883">
        <w:trPr>
          <w:trHeight w:val="388"/>
        </w:trPr>
        <w:tc>
          <w:tcPr>
            <w:tcW w:w="9371" w:type="dxa"/>
          </w:tcPr>
          <w:p w:rsidR="00E76452" w:rsidRPr="00A12DE5" w:rsidRDefault="00E76452" w:rsidP="00B22CFA">
            <w:pPr>
              <w:widowControl w:val="0"/>
              <w:adjustRightInd w:val="0"/>
              <w:jc w:val="both"/>
              <w:textAlignment w:val="baseline"/>
              <w:rPr>
                <w:i/>
                <w:iCs/>
                <w:sz w:val="24"/>
                <w:szCs w:val="24"/>
              </w:rPr>
            </w:pPr>
            <w:r w:rsidRPr="00A12DE5">
              <w:rPr>
                <w:b/>
                <w:sz w:val="24"/>
                <w:szCs w:val="24"/>
              </w:rPr>
              <w:t xml:space="preserve">7.2.2 Časový vplyv </w:t>
            </w:r>
          </w:p>
        </w:tc>
      </w:tr>
      <w:tr w:rsidR="00E76452" w:rsidRPr="00A12DE5" w:rsidTr="00E76883">
        <w:trPr>
          <w:trHeight w:val="20"/>
        </w:trPr>
        <w:tc>
          <w:tcPr>
            <w:tcW w:w="9371" w:type="dxa"/>
          </w:tcPr>
          <w:p w:rsidR="00E76452" w:rsidRPr="00A12DE5" w:rsidRDefault="00E76452" w:rsidP="00B22CFA">
            <w:pPr>
              <w:widowControl w:val="0"/>
              <w:adjustRightInd w:val="0"/>
              <w:jc w:val="both"/>
              <w:textAlignment w:val="baseline"/>
              <w:rPr>
                <w:b/>
                <w:sz w:val="24"/>
                <w:szCs w:val="24"/>
              </w:rPr>
            </w:pPr>
            <w:r w:rsidRPr="00A12DE5">
              <w:rPr>
                <w:i/>
                <w:sz w:val="24"/>
                <w:szCs w:val="24"/>
              </w:rPr>
              <w:t>Zvýšenie času vybavenia požiadavky (popíšte)</w:t>
            </w:r>
          </w:p>
        </w:tc>
      </w:tr>
      <w:tr w:rsidR="00E76452" w:rsidRPr="00A12DE5" w:rsidTr="00B22CFA">
        <w:trPr>
          <w:trHeight w:val="540"/>
        </w:trPr>
        <w:tc>
          <w:tcPr>
            <w:tcW w:w="9371" w:type="dxa"/>
          </w:tcPr>
          <w:p w:rsidR="00E76452" w:rsidRPr="00B22CFA" w:rsidRDefault="00E76452" w:rsidP="00B22CFA">
            <w:pPr>
              <w:widowControl w:val="0"/>
              <w:adjustRightInd w:val="0"/>
              <w:jc w:val="both"/>
              <w:textAlignment w:val="baseline"/>
              <w:rPr>
                <w:b/>
              </w:rPr>
            </w:pPr>
            <w:r w:rsidRPr="00B22CFA">
              <w:lastRenderedPageBreak/>
              <w:t>Nie.</w:t>
            </w:r>
          </w:p>
        </w:tc>
      </w:tr>
      <w:tr w:rsidR="00E76452" w:rsidRPr="00A12DE5" w:rsidTr="00E76883">
        <w:trPr>
          <w:trHeight w:val="20"/>
        </w:trPr>
        <w:tc>
          <w:tcPr>
            <w:tcW w:w="9371" w:type="dxa"/>
          </w:tcPr>
          <w:p w:rsidR="00E76452" w:rsidRPr="00A12DE5" w:rsidRDefault="00E76452" w:rsidP="00B22CFA">
            <w:pPr>
              <w:widowControl w:val="0"/>
              <w:adjustRightInd w:val="0"/>
              <w:jc w:val="both"/>
              <w:textAlignment w:val="baseline"/>
              <w:rPr>
                <w:b/>
                <w:sz w:val="24"/>
                <w:szCs w:val="24"/>
              </w:rPr>
            </w:pPr>
            <w:r w:rsidRPr="00A12DE5">
              <w:rPr>
                <w:i/>
                <w:sz w:val="24"/>
                <w:szCs w:val="24"/>
              </w:rPr>
              <w:t>Zníženie času  vybavenia požiadavky (popíšte)</w:t>
            </w:r>
          </w:p>
        </w:tc>
      </w:tr>
      <w:tr w:rsidR="00E76452" w:rsidRPr="00A12DE5" w:rsidTr="00E76883">
        <w:trPr>
          <w:trHeight w:val="729"/>
        </w:trPr>
        <w:tc>
          <w:tcPr>
            <w:tcW w:w="9371" w:type="dxa"/>
          </w:tcPr>
          <w:p w:rsidR="00E76452" w:rsidRPr="00B22CFA" w:rsidRDefault="00D17FE3" w:rsidP="00B22CFA">
            <w:pPr>
              <w:widowControl w:val="0"/>
              <w:adjustRightInd w:val="0"/>
              <w:ind w:left="1985" w:hanging="1985"/>
              <w:jc w:val="both"/>
              <w:textAlignment w:val="baseline"/>
            </w:pPr>
            <w:r>
              <w:t xml:space="preserve">1. </w:t>
            </w:r>
            <w:r w:rsidR="00E76452" w:rsidRPr="00B22CFA">
              <w:t>Úspora času vzhľadom na možnosť vybavenia na jednom mieste.</w:t>
            </w:r>
          </w:p>
          <w:p w:rsidR="002B7A16" w:rsidRDefault="00D17FE3" w:rsidP="00744ADA">
            <w:pPr>
              <w:widowControl w:val="0"/>
              <w:adjustRightInd w:val="0"/>
              <w:ind w:left="239" w:hanging="239"/>
              <w:jc w:val="both"/>
              <w:textAlignment w:val="baseline"/>
            </w:pPr>
            <w:r>
              <w:t xml:space="preserve">2. </w:t>
            </w:r>
            <w:r w:rsidR="00A07099" w:rsidRPr="00B22CFA">
              <w:t xml:space="preserve">Zníženie administratívneho zaťaženia, úspora časových nákladov spojená </w:t>
            </w:r>
            <w:r w:rsidR="002B7A16" w:rsidRPr="00B22CFA">
              <w:t xml:space="preserve">s osobným stykom na úradoch, </w:t>
            </w:r>
            <w:r w:rsidR="00A07099" w:rsidRPr="00B22CFA">
              <w:t>s vypĺňaním dvoch obsahovo podobných formulárov, ako aj časová úspora spojená so zrušením procesu územného rozhodovania  (v súčasnosti 150 dní) a znížením času trvania celého stavebného procesu</w:t>
            </w:r>
            <w:r w:rsidR="002B7A16" w:rsidRPr="00B22CFA">
              <w:t>.</w:t>
            </w:r>
          </w:p>
          <w:p w:rsidR="004A1D60" w:rsidRPr="00A07099" w:rsidRDefault="004A1D60" w:rsidP="00744ADA">
            <w:pPr>
              <w:widowControl w:val="0"/>
              <w:adjustRightInd w:val="0"/>
              <w:ind w:left="239" w:hanging="239"/>
              <w:jc w:val="both"/>
              <w:textAlignment w:val="baseline"/>
              <w:rPr>
                <w:sz w:val="24"/>
                <w:szCs w:val="24"/>
              </w:rPr>
            </w:pPr>
            <w:r>
              <w:t xml:space="preserve">3. </w:t>
            </w:r>
            <w:r w:rsidRPr="004A1D60">
              <w:t>Zjednodušenie komunikácie s orgánmi Policajného zboru SR pri evidencii vozidiel spočívajúce v tom, že pri podaní elektronickej žiadosti sa už vlastník vozidla nebude musieť dostaviť na dopravný inšpektorát, aby si vyzdvihol osvedčenia o evidencii a tabuľky s evidenčným číslom, ale tieto mu budú doručené. Zdokonalenie elektronickej služby a vytvorenie jednotného pracoviska umožní vlastníkom vozidiel vykonať úkony, pre ktoré sa v súčasnosti musia dostaviť na dopravný inšpektorát. Týmto opatrením sa tak ušetrí čas aj finančné prostriedky spojené s návštevou dopravného inšpektorátu.</w:t>
            </w:r>
          </w:p>
        </w:tc>
      </w:tr>
      <w:tr w:rsidR="00E76452" w:rsidRPr="00A12DE5" w:rsidTr="00E76883">
        <w:trPr>
          <w:trHeight w:val="424"/>
        </w:trPr>
        <w:tc>
          <w:tcPr>
            <w:tcW w:w="9371" w:type="dxa"/>
          </w:tcPr>
          <w:p w:rsidR="00E76452" w:rsidRPr="00A12DE5" w:rsidRDefault="00E76452" w:rsidP="00B22CFA">
            <w:pPr>
              <w:widowControl w:val="0"/>
              <w:adjustRightInd w:val="0"/>
              <w:jc w:val="both"/>
              <w:textAlignment w:val="baseline"/>
              <w:rPr>
                <w:b/>
                <w:sz w:val="24"/>
                <w:szCs w:val="24"/>
              </w:rPr>
            </w:pPr>
            <w:r w:rsidRPr="00A12DE5">
              <w:rPr>
                <w:b/>
                <w:sz w:val="24"/>
                <w:szCs w:val="24"/>
              </w:rPr>
              <w:t xml:space="preserve">7.2.3 Ktorá skupina občanov bude predloženým návrhom ovplyvnená? </w:t>
            </w:r>
          </w:p>
          <w:p w:rsidR="00E76452" w:rsidRPr="00A12DE5" w:rsidRDefault="00E76452" w:rsidP="00B22CFA">
            <w:pPr>
              <w:widowControl w:val="0"/>
              <w:adjustRightInd w:val="0"/>
              <w:jc w:val="both"/>
              <w:textAlignment w:val="baseline"/>
              <w:rPr>
                <w:i/>
                <w:iCs/>
                <w:sz w:val="24"/>
                <w:szCs w:val="24"/>
              </w:rPr>
            </w:pPr>
            <w:r w:rsidRPr="00A12DE5">
              <w:rPr>
                <w:i/>
                <w:iCs/>
                <w:sz w:val="24"/>
                <w:szCs w:val="24"/>
              </w:rPr>
              <w:t>Špecifikujte skupinu občanov, ktorá bude návrhom ovplyvnená (napr. držitelia vodičských oprávnení). Aká je  veľkosť tejto skupiny?</w:t>
            </w:r>
          </w:p>
        </w:tc>
      </w:tr>
      <w:tr w:rsidR="00E76452" w:rsidRPr="00A12DE5" w:rsidTr="00E76883">
        <w:trPr>
          <w:trHeight w:val="734"/>
        </w:trPr>
        <w:tc>
          <w:tcPr>
            <w:tcW w:w="9371" w:type="dxa"/>
          </w:tcPr>
          <w:p w:rsidR="00E76452" w:rsidRPr="00744ADA" w:rsidRDefault="00D17FE3" w:rsidP="00B22CFA">
            <w:pPr>
              <w:widowControl w:val="0"/>
              <w:adjustRightInd w:val="0"/>
              <w:jc w:val="both"/>
              <w:textAlignment w:val="baseline"/>
              <w:rPr>
                <w:iCs/>
              </w:rPr>
            </w:pPr>
            <w:r>
              <w:rPr>
                <w:iCs/>
              </w:rPr>
              <w:t xml:space="preserve">1. </w:t>
            </w:r>
            <w:r w:rsidR="00E76452" w:rsidRPr="00744ADA">
              <w:rPr>
                <w:iCs/>
              </w:rPr>
              <w:t>Každý občan, ktorý požiada o výpis o živnostenského registra.</w:t>
            </w:r>
          </w:p>
          <w:p w:rsidR="004A1D60" w:rsidRDefault="00D17FE3" w:rsidP="00B22CFA">
            <w:pPr>
              <w:widowControl w:val="0"/>
              <w:adjustRightInd w:val="0"/>
              <w:jc w:val="both"/>
              <w:textAlignment w:val="baseline"/>
              <w:rPr>
                <w:iCs/>
              </w:rPr>
            </w:pPr>
            <w:r>
              <w:rPr>
                <w:iCs/>
              </w:rPr>
              <w:t xml:space="preserve">2. </w:t>
            </w:r>
            <w:r w:rsidR="00F74B4A" w:rsidRPr="00744ADA">
              <w:rPr>
                <w:iCs/>
              </w:rPr>
              <w:t>Každý občan</w:t>
            </w:r>
            <w:r w:rsidR="0016097E" w:rsidRPr="00744ADA">
              <w:rPr>
                <w:iCs/>
              </w:rPr>
              <w:t>, ktorý je účastníkom územného konania a stavebného konania.</w:t>
            </w:r>
          </w:p>
          <w:p w:rsidR="00F83F91" w:rsidRPr="00A12DE5" w:rsidRDefault="004A1D60" w:rsidP="00B22CFA">
            <w:pPr>
              <w:widowControl w:val="0"/>
              <w:adjustRightInd w:val="0"/>
              <w:jc w:val="both"/>
              <w:textAlignment w:val="baseline"/>
              <w:rPr>
                <w:iCs/>
                <w:sz w:val="24"/>
                <w:szCs w:val="24"/>
              </w:rPr>
            </w:pPr>
            <w:r>
              <w:rPr>
                <w:iCs/>
              </w:rPr>
              <w:t>3. Každý občan, ktorý je vlastníkom vozidla.</w:t>
            </w:r>
            <w:r w:rsidR="0016097E">
              <w:rPr>
                <w:iCs/>
                <w:sz w:val="24"/>
                <w:szCs w:val="24"/>
              </w:rPr>
              <w:t xml:space="preserve"> </w:t>
            </w:r>
          </w:p>
        </w:tc>
      </w:tr>
      <w:tr w:rsidR="00E76452" w:rsidRPr="00A12DE5" w:rsidTr="00E76883">
        <w:trPr>
          <w:trHeight w:val="20"/>
        </w:trPr>
        <w:tc>
          <w:tcPr>
            <w:tcW w:w="9371" w:type="dxa"/>
          </w:tcPr>
          <w:p w:rsidR="00E76452" w:rsidRPr="00A12DE5" w:rsidRDefault="00E76452" w:rsidP="00B22CFA">
            <w:pPr>
              <w:widowControl w:val="0"/>
              <w:adjustRightInd w:val="0"/>
              <w:jc w:val="both"/>
              <w:textAlignment w:val="baseline"/>
              <w:rPr>
                <w:i/>
                <w:iCs/>
                <w:sz w:val="24"/>
                <w:szCs w:val="24"/>
              </w:rPr>
            </w:pPr>
            <w:r w:rsidRPr="00A12DE5">
              <w:rPr>
                <w:b/>
                <w:sz w:val="24"/>
                <w:szCs w:val="24"/>
              </w:rPr>
              <w:t xml:space="preserve">7.2.4 Vyplývajú z návrhu pre občana pri vybavení svojej požiadavky nové povinnosti alebo zanikajú už existujúce povinnosti?  </w:t>
            </w:r>
          </w:p>
        </w:tc>
      </w:tr>
      <w:tr w:rsidR="00E76452" w:rsidRPr="00A12DE5" w:rsidTr="00E76883">
        <w:trPr>
          <w:trHeight w:val="20"/>
        </w:trPr>
        <w:tc>
          <w:tcPr>
            <w:tcW w:w="9371" w:type="dxa"/>
          </w:tcPr>
          <w:p w:rsidR="00E76452" w:rsidRPr="00A12DE5" w:rsidRDefault="00E76452" w:rsidP="00B22CFA">
            <w:pPr>
              <w:widowControl w:val="0"/>
              <w:adjustRightInd w:val="0"/>
              <w:jc w:val="both"/>
              <w:textAlignment w:val="baseline"/>
              <w:rPr>
                <w:i/>
                <w:iCs/>
                <w:sz w:val="24"/>
                <w:szCs w:val="24"/>
              </w:rPr>
            </w:pPr>
            <w:r w:rsidRPr="00A12DE5">
              <w:rPr>
                <w:i/>
                <w:iCs/>
                <w:sz w:val="24"/>
                <w:szCs w:val="24"/>
              </w:rPr>
              <w:t xml:space="preserve">Nové povinnosti (identifikujte) </w:t>
            </w:r>
          </w:p>
        </w:tc>
      </w:tr>
      <w:tr w:rsidR="00E76452" w:rsidRPr="00A12DE5" w:rsidTr="00E76452">
        <w:trPr>
          <w:trHeight w:val="460"/>
        </w:trPr>
        <w:tc>
          <w:tcPr>
            <w:tcW w:w="9371" w:type="dxa"/>
          </w:tcPr>
          <w:p w:rsidR="00E76452" w:rsidRDefault="00D17FE3" w:rsidP="00B22CFA">
            <w:pPr>
              <w:widowControl w:val="0"/>
              <w:adjustRightInd w:val="0"/>
              <w:jc w:val="both"/>
              <w:textAlignment w:val="baseline"/>
              <w:rPr>
                <w:iCs/>
              </w:rPr>
            </w:pPr>
            <w:r>
              <w:rPr>
                <w:iCs/>
              </w:rPr>
              <w:t xml:space="preserve">1. </w:t>
            </w:r>
            <w:r w:rsidR="00E76452" w:rsidRPr="00D17FE3">
              <w:rPr>
                <w:iCs/>
              </w:rPr>
              <w:t>Pre občanov nevyplývajú nové povinnosti.</w:t>
            </w:r>
          </w:p>
          <w:p w:rsidR="00D17FE3" w:rsidRDefault="00D17FE3" w:rsidP="00B22CFA">
            <w:pPr>
              <w:widowControl w:val="0"/>
              <w:adjustRightInd w:val="0"/>
              <w:jc w:val="both"/>
              <w:textAlignment w:val="baseline"/>
              <w:rPr>
                <w:iCs/>
              </w:rPr>
            </w:pPr>
            <w:r>
              <w:rPr>
                <w:iCs/>
              </w:rPr>
              <w:t xml:space="preserve">2. V súčasnosti nie je možné zadefinovať. </w:t>
            </w:r>
          </w:p>
          <w:p w:rsidR="004A1D60" w:rsidRPr="00D17FE3" w:rsidRDefault="004A1D60" w:rsidP="004A1D60">
            <w:pPr>
              <w:widowControl w:val="0"/>
              <w:adjustRightInd w:val="0"/>
              <w:ind w:left="197" w:hanging="197"/>
              <w:jc w:val="both"/>
              <w:textAlignment w:val="baseline"/>
              <w:rPr>
                <w:iCs/>
              </w:rPr>
            </w:pPr>
            <w:r>
              <w:rPr>
                <w:iCs/>
              </w:rPr>
              <w:t xml:space="preserve">3. Nové povinnosti nevznikajú. </w:t>
            </w:r>
          </w:p>
        </w:tc>
      </w:tr>
      <w:tr w:rsidR="00E76452" w:rsidRPr="00A12DE5" w:rsidTr="00E76883">
        <w:trPr>
          <w:trHeight w:val="20"/>
        </w:trPr>
        <w:tc>
          <w:tcPr>
            <w:tcW w:w="9371" w:type="dxa"/>
          </w:tcPr>
          <w:p w:rsidR="00E76452" w:rsidRPr="00A12DE5" w:rsidRDefault="00E76452" w:rsidP="00B22CFA">
            <w:pPr>
              <w:widowControl w:val="0"/>
              <w:adjustRightInd w:val="0"/>
              <w:jc w:val="both"/>
              <w:textAlignment w:val="baseline"/>
              <w:rPr>
                <w:i/>
                <w:iCs/>
                <w:sz w:val="24"/>
                <w:szCs w:val="24"/>
              </w:rPr>
            </w:pPr>
            <w:r w:rsidRPr="00A12DE5">
              <w:rPr>
                <w:i/>
                <w:iCs/>
                <w:sz w:val="24"/>
                <w:szCs w:val="24"/>
              </w:rPr>
              <w:t>Zanikajúce povinnosti (identifikujte)</w:t>
            </w:r>
          </w:p>
        </w:tc>
      </w:tr>
      <w:tr w:rsidR="00E76452" w:rsidRPr="00A12DE5" w:rsidTr="00E76883">
        <w:trPr>
          <w:trHeight w:val="609"/>
        </w:trPr>
        <w:tc>
          <w:tcPr>
            <w:tcW w:w="9371" w:type="dxa"/>
          </w:tcPr>
          <w:p w:rsidR="00E76452" w:rsidRDefault="00D17FE3" w:rsidP="00B22CFA">
            <w:pPr>
              <w:widowControl w:val="0"/>
              <w:adjustRightInd w:val="0"/>
              <w:jc w:val="both"/>
              <w:textAlignment w:val="baseline"/>
              <w:rPr>
                <w:iCs/>
              </w:rPr>
            </w:pPr>
            <w:r>
              <w:rPr>
                <w:iCs/>
              </w:rPr>
              <w:t xml:space="preserve">1. </w:t>
            </w:r>
            <w:r w:rsidR="00E76452" w:rsidRPr="00D17FE3">
              <w:rPr>
                <w:iCs/>
              </w:rPr>
              <w:t>Pre občanov nezanikajú povinnosti.</w:t>
            </w:r>
          </w:p>
          <w:p w:rsidR="00D17FE3" w:rsidRDefault="00D17FE3" w:rsidP="00B22CFA">
            <w:pPr>
              <w:widowControl w:val="0"/>
              <w:adjustRightInd w:val="0"/>
              <w:jc w:val="both"/>
              <w:textAlignment w:val="baseline"/>
              <w:rPr>
                <w:iCs/>
              </w:rPr>
            </w:pPr>
            <w:r>
              <w:rPr>
                <w:iCs/>
              </w:rPr>
              <w:t>2. V súčasnosti nie je možné zadefinovať.</w:t>
            </w:r>
          </w:p>
          <w:p w:rsidR="004A1D60" w:rsidRPr="00D17FE3" w:rsidRDefault="004A1D60" w:rsidP="004A1D60">
            <w:pPr>
              <w:widowControl w:val="0"/>
              <w:adjustRightInd w:val="0"/>
              <w:ind w:left="239" w:hanging="239"/>
              <w:jc w:val="both"/>
              <w:textAlignment w:val="baseline"/>
              <w:rPr>
                <w:i/>
                <w:iCs/>
              </w:rPr>
            </w:pPr>
            <w:r>
              <w:rPr>
                <w:iCs/>
              </w:rPr>
              <w:t xml:space="preserve">3. </w:t>
            </w:r>
            <w:r w:rsidRPr="004A1D60">
              <w:rPr>
                <w:iCs/>
              </w:rPr>
              <w:t xml:space="preserve">Zaniká povinnosť </w:t>
            </w:r>
            <w:r>
              <w:rPr>
                <w:iCs/>
              </w:rPr>
              <w:t xml:space="preserve">pre vlastníka motorového vozidla </w:t>
            </w:r>
            <w:r w:rsidRPr="004A1D60">
              <w:rPr>
                <w:iCs/>
              </w:rPr>
              <w:t>dostaviť</w:t>
            </w:r>
            <w:r>
              <w:rPr>
                <w:iCs/>
              </w:rPr>
              <w:t xml:space="preserve"> sa </w:t>
            </w:r>
            <w:r w:rsidRPr="004A1D60">
              <w:rPr>
                <w:iCs/>
              </w:rPr>
              <w:t>na dopravný inšpektorát, aby si vyzdvihol osv</w:t>
            </w:r>
            <w:r>
              <w:rPr>
                <w:iCs/>
              </w:rPr>
              <w:t>edčenia o evidencii a tabuľky s </w:t>
            </w:r>
            <w:r w:rsidRPr="004A1D60">
              <w:rPr>
                <w:iCs/>
              </w:rPr>
              <w:t>evidenčným číslom</w:t>
            </w:r>
            <w:r>
              <w:rPr>
                <w:iCs/>
              </w:rPr>
              <w:t>.</w:t>
            </w:r>
          </w:p>
        </w:tc>
      </w:tr>
      <w:tr w:rsidR="00E76452" w:rsidRPr="00A12DE5" w:rsidTr="00E76883">
        <w:trPr>
          <w:trHeight w:val="20"/>
        </w:trPr>
        <w:tc>
          <w:tcPr>
            <w:tcW w:w="9371" w:type="dxa"/>
            <w:shd w:val="clear" w:color="auto" w:fill="BFBFBF"/>
            <w:vAlign w:val="center"/>
          </w:tcPr>
          <w:p w:rsidR="00E76452" w:rsidRPr="00A12DE5" w:rsidRDefault="00E76452" w:rsidP="00B22CFA">
            <w:pPr>
              <w:widowControl w:val="0"/>
              <w:adjustRightInd w:val="0"/>
              <w:jc w:val="center"/>
              <w:textAlignment w:val="baseline"/>
              <w:rPr>
                <w:b/>
                <w:sz w:val="28"/>
                <w:szCs w:val="28"/>
              </w:rPr>
            </w:pPr>
            <w:r w:rsidRPr="00A12DE5">
              <w:rPr>
                <w:b/>
                <w:sz w:val="28"/>
                <w:szCs w:val="28"/>
              </w:rPr>
              <w:t>7.3 Vplyv na procesy služieb vo verejnej správe</w:t>
            </w:r>
          </w:p>
        </w:tc>
      </w:tr>
      <w:tr w:rsidR="00E76452" w:rsidRPr="00A12DE5" w:rsidTr="00E76883">
        <w:trPr>
          <w:trHeight w:val="390"/>
        </w:trPr>
        <w:tc>
          <w:tcPr>
            <w:tcW w:w="9371" w:type="dxa"/>
          </w:tcPr>
          <w:p w:rsidR="00E76452" w:rsidRPr="00A12DE5" w:rsidRDefault="00E76452" w:rsidP="00B22CFA">
            <w:pPr>
              <w:widowControl w:val="0"/>
              <w:adjustRightInd w:val="0"/>
              <w:jc w:val="both"/>
              <w:textAlignment w:val="baseline"/>
              <w:rPr>
                <w:b/>
                <w:sz w:val="24"/>
                <w:szCs w:val="24"/>
              </w:rPr>
            </w:pPr>
            <w:r w:rsidRPr="00A12DE5">
              <w:rPr>
                <w:b/>
                <w:sz w:val="24"/>
                <w:szCs w:val="24"/>
              </w:rPr>
              <w:t xml:space="preserve">7.3.1 Ktoré sú dotknuté subjekty verejnej správy? </w:t>
            </w:r>
          </w:p>
          <w:p w:rsidR="00E76452" w:rsidRPr="00A12DE5" w:rsidRDefault="00E76452" w:rsidP="00B22CFA">
            <w:pPr>
              <w:widowControl w:val="0"/>
              <w:adjustRightInd w:val="0"/>
              <w:jc w:val="both"/>
              <w:textAlignment w:val="baseline"/>
              <w:rPr>
                <w:i/>
                <w:iCs/>
                <w:sz w:val="24"/>
                <w:szCs w:val="24"/>
              </w:rPr>
            </w:pPr>
            <w:r w:rsidRPr="00A12DE5">
              <w:rPr>
                <w:i/>
                <w:sz w:val="24"/>
                <w:szCs w:val="24"/>
              </w:rPr>
              <w:t xml:space="preserve">Ktoré subjekty verejnej správy sú účastné procesu poskytnutia služby? </w:t>
            </w:r>
          </w:p>
        </w:tc>
      </w:tr>
      <w:tr w:rsidR="00E76452" w:rsidRPr="00D17FE3" w:rsidTr="00E76883">
        <w:trPr>
          <w:trHeight w:val="733"/>
        </w:trPr>
        <w:tc>
          <w:tcPr>
            <w:tcW w:w="9371" w:type="dxa"/>
          </w:tcPr>
          <w:p w:rsidR="00E76452" w:rsidRDefault="00D17FE3" w:rsidP="00B22CFA">
            <w:pPr>
              <w:widowControl w:val="0"/>
              <w:adjustRightInd w:val="0"/>
              <w:jc w:val="both"/>
              <w:textAlignment w:val="baseline"/>
            </w:pPr>
            <w:r w:rsidRPr="00744ADA">
              <w:t xml:space="preserve">1. </w:t>
            </w:r>
            <w:r w:rsidR="00E76452" w:rsidRPr="00744ADA">
              <w:t>Ministerstvo vnútra SR, Integrované obslužné miesto občana (IOMO)</w:t>
            </w:r>
          </w:p>
          <w:p w:rsidR="00D17FE3" w:rsidRDefault="00D17FE3" w:rsidP="00744ADA">
            <w:pPr>
              <w:widowControl w:val="0"/>
              <w:adjustRightInd w:val="0"/>
              <w:ind w:left="197" w:hanging="197"/>
              <w:jc w:val="both"/>
              <w:textAlignment w:val="baseline"/>
            </w:pPr>
            <w:r>
              <w:t>2.</w:t>
            </w:r>
            <w:r w:rsidR="004A1D60">
              <w:t> </w:t>
            </w:r>
            <w:r w:rsidRPr="00D17FE3">
              <w:t>O</w:t>
            </w:r>
            <w:r w:rsidRPr="00AC3658">
              <w:t>bce, samosprávne kraje a krajské stavebné úrady, v prípade územných plánov vojenských obvodov Ministerstvo obrany SR.</w:t>
            </w:r>
          </w:p>
          <w:p w:rsidR="004A1D60" w:rsidRPr="00744ADA" w:rsidRDefault="004A1D60" w:rsidP="00744ADA">
            <w:pPr>
              <w:widowControl w:val="0"/>
              <w:adjustRightInd w:val="0"/>
              <w:ind w:left="197" w:hanging="197"/>
              <w:jc w:val="both"/>
              <w:textAlignment w:val="baseline"/>
            </w:pPr>
            <w:r>
              <w:t xml:space="preserve">3. </w:t>
            </w:r>
            <w:r w:rsidRPr="00744ADA">
              <w:t>Ministerstvo vnútra SR</w:t>
            </w:r>
            <w:r>
              <w:t xml:space="preserve">, </w:t>
            </w:r>
            <w:r w:rsidRPr="004A1D60">
              <w:t>dopravný inšpektorát</w:t>
            </w:r>
            <w:r>
              <w:t>.</w:t>
            </w:r>
          </w:p>
        </w:tc>
      </w:tr>
      <w:tr w:rsidR="00E76452" w:rsidRPr="00A12DE5" w:rsidTr="00E76883">
        <w:trPr>
          <w:trHeight w:val="20"/>
        </w:trPr>
        <w:tc>
          <w:tcPr>
            <w:tcW w:w="9371" w:type="dxa"/>
          </w:tcPr>
          <w:p w:rsidR="00E76452" w:rsidRPr="00A12DE5" w:rsidRDefault="00E76452" w:rsidP="00B22CFA">
            <w:pPr>
              <w:widowControl w:val="0"/>
              <w:adjustRightInd w:val="0"/>
              <w:jc w:val="both"/>
              <w:textAlignment w:val="baseline"/>
              <w:rPr>
                <w:i/>
                <w:iCs/>
                <w:sz w:val="24"/>
                <w:szCs w:val="24"/>
              </w:rPr>
            </w:pPr>
            <w:r w:rsidRPr="00A12DE5">
              <w:rPr>
                <w:b/>
                <w:sz w:val="24"/>
                <w:szCs w:val="24"/>
              </w:rPr>
              <w:t xml:space="preserve">7.3.2 Vyplývajú z návrhu pre orgán verejnej správy pri vybavení požiadavky nové povinnosti alebo zanikajú už existujúce povinnosti?  </w:t>
            </w:r>
            <w:r w:rsidRPr="00A12DE5">
              <w:rPr>
                <w:iCs/>
                <w:sz w:val="24"/>
                <w:szCs w:val="24"/>
              </w:rPr>
              <w:t xml:space="preserve"> </w:t>
            </w:r>
          </w:p>
        </w:tc>
      </w:tr>
      <w:tr w:rsidR="00E76452" w:rsidRPr="00A12DE5" w:rsidTr="00E76883">
        <w:trPr>
          <w:trHeight w:val="20"/>
        </w:trPr>
        <w:tc>
          <w:tcPr>
            <w:tcW w:w="9371" w:type="dxa"/>
          </w:tcPr>
          <w:p w:rsidR="00E76452" w:rsidRPr="00A12DE5" w:rsidRDefault="00E76452" w:rsidP="00B22CFA">
            <w:pPr>
              <w:widowControl w:val="0"/>
              <w:adjustRightInd w:val="0"/>
              <w:jc w:val="both"/>
              <w:textAlignment w:val="baseline"/>
              <w:rPr>
                <w:i/>
                <w:iCs/>
                <w:sz w:val="24"/>
                <w:szCs w:val="24"/>
              </w:rPr>
            </w:pPr>
            <w:r w:rsidRPr="00A12DE5">
              <w:rPr>
                <w:i/>
                <w:iCs/>
                <w:sz w:val="24"/>
                <w:szCs w:val="24"/>
              </w:rPr>
              <w:t>Nové povinnosti (identifikujte)</w:t>
            </w:r>
          </w:p>
        </w:tc>
      </w:tr>
      <w:tr w:rsidR="00E76452" w:rsidRPr="00A12DE5" w:rsidTr="00E76883">
        <w:trPr>
          <w:trHeight w:val="355"/>
        </w:trPr>
        <w:tc>
          <w:tcPr>
            <w:tcW w:w="9371" w:type="dxa"/>
          </w:tcPr>
          <w:p w:rsidR="004A1D60" w:rsidRPr="00A12DE5" w:rsidRDefault="004A1D60" w:rsidP="000102F6">
            <w:pPr>
              <w:widowControl w:val="0"/>
              <w:adjustRightInd w:val="0"/>
              <w:jc w:val="both"/>
              <w:textAlignment w:val="baseline"/>
              <w:rPr>
                <w:i/>
                <w:iCs/>
                <w:sz w:val="24"/>
                <w:szCs w:val="24"/>
              </w:rPr>
            </w:pPr>
            <w:r w:rsidRPr="004A1D60">
              <w:t xml:space="preserve">3. </w:t>
            </w:r>
            <w:r w:rsidR="000102F6">
              <w:t>D</w:t>
            </w:r>
            <w:r w:rsidR="000102F6">
              <w:t>oručen</w:t>
            </w:r>
            <w:r w:rsidR="000102F6">
              <w:t xml:space="preserve">ie </w:t>
            </w:r>
            <w:r w:rsidR="000102F6">
              <w:t>osvedčenia o evidencii a tabuľky s evidenčným číslom</w:t>
            </w:r>
            <w:r w:rsidR="000102F6">
              <w:t xml:space="preserve"> </w:t>
            </w:r>
            <w:r w:rsidR="000102F6" w:rsidRPr="000102F6">
              <w:t>prostredníctvom kuriéra</w:t>
            </w:r>
            <w:r w:rsidR="000102F6">
              <w:t>.</w:t>
            </w:r>
          </w:p>
        </w:tc>
      </w:tr>
      <w:tr w:rsidR="00E76452" w:rsidRPr="00A12DE5" w:rsidTr="00E76883">
        <w:trPr>
          <w:trHeight w:val="20"/>
        </w:trPr>
        <w:tc>
          <w:tcPr>
            <w:tcW w:w="9371" w:type="dxa"/>
          </w:tcPr>
          <w:p w:rsidR="00E76452" w:rsidRPr="00A12DE5" w:rsidRDefault="00E76452" w:rsidP="00B22CFA">
            <w:pPr>
              <w:widowControl w:val="0"/>
              <w:adjustRightInd w:val="0"/>
              <w:jc w:val="both"/>
              <w:textAlignment w:val="baseline"/>
              <w:rPr>
                <w:i/>
                <w:iCs/>
                <w:sz w:val="24"/>
                <w:szCs w:val="24"/>
              </w:rPr>
            </w:pPr>
            <w:r w:rsidRPr="00A12DE5">
              <w:rPr>
                <w:i/>
                <w:iCs/>
                <w:sz w:val="24"/>
                <w:szCs w:val="24"/>
              </w:rPr>
              <w:t>Zanikajúce povinnosti (identifikujte)</w:t>
            </w:r>
          </w:p>
        </w:tc>
      </w:tr>
      <w:tr w:rsidR="00E76452" w:rsidRPr="00A12DE5" w:rsidTr="00E76452">
        <w:trPr>
          <w:trHeight w:val="241"/>
        </w:trPr>
        <w:tc>
          <w:tcPr>
            <w:tcW w:w="9371" w:type="dxa"/>
          </w:tcPr>
          <w:p w:rsidR="00E76452" w:rsidRPr="00A12DE5" w:rsidRDefault="00E76452" w:rsidP="00B22CFA">
            <w:pPr>
              <w:widowControl w:val="0"/>
              <w:adjustRightInd w:val="0"/>
              <w:jc w:val="both"/>
              <w:textAlignment w:val="baseline"/>
              <w:rPr>
                <w:i/>
                <w:iCs/>
                <w:sz w:val="24"/>
                <w:szCs w:val="24"/>
              </w:rPr>
            </w:pPr>
          </w:p>
        </w:tc>
      </w:tr>
    </w:tbl>
    <w:p w:rsidR="009F2DFA" w:rsidRPr="00E76452" w:rsidRDefault="009F2DFA" w:rsidP="00B22CFA"/>
    <w:sectPr w:rsidR="009F2DFA" w:rsidRPr="00E76452">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17E7" w:rsidRDefault="004417E7" w:rsidP="009F2DFA">
      <w:r>
        <w:separator/>
      </w:r>
    </w:p>
  </w:endnote>
  <w:endnote w:type="continuationSeparator" w:id="0">
    <w:p w:rsidR="004417E7" w:rsidRDefault="004417E7" w:rsidP="009F2D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imes">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5381234"/>
      <w:docPartObj>
        <w:docPartGallery w:val="Page Numbers (Bottom of Page)"/>
        <w:docPartUnique/>
      </w:docPartObj>
    </w:sdtPr>
    <w:sdtEndPr/>
    <w:sdtContent>
      <w:p w:rsidR="009F2DFA" w:rsidRDefault="009F2DFA">
        <w:pPr>
          <w:pStyle w:val="Pta"/>
          <w:jc w:val="right"/>
        </w:pPr>
        <w:r>
          <w:fldChar w:fldCharType="begin"/>
        </w:r>
        <w:r>
          <w:instrText>PAGE   \* MERGEFORMAT</w:instrText>
        </w:r>
        <w:r>
          <w:fldChar w:fldCharType="separate"/>
        </w:r>
        <w:r w:rsidR="000102F6">
          <w:rPr>
            <w:noProof/>
          </w:rPr>
          <w:t>2</w:t>
        </w:r>
        <w:r>
          <w:fldChar w:fldCharType="end"/>
        </w:r>
      </w:p>
    </w:sdtContent>
  </w:sdt>
  <w:p w:rsidR="009F2DFA" w:rsidRDefault="009F2DFA">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17E7" w:rsidRDefault="004417E7" w:rsidP="009F2DFA">
      <w:r>
        <w:separator/>
      </w:r>
    </w:p>
  </w:footnote>
  <w:footnote w:type="continuationSeparator" w:id="0">
    <w:p w:rsidR="004417E7" w:rsidRDefault="004417E7" w:rsidP="009F2D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DFA" w:rsidRDefault="009F2DFA" w:rsidP="009F2DFA">
    <w:pPr>
      <w:pStyle w:val="Hlavika"/>
      <w:jc w:val="right"/>
      <w:rPr>
        <w:sz w:val="24"/>
        <w:szCs w:val="24"/>
      </w:rPr>
    </w:pPr>
    <w:r w:rsidRPr="000A15AE">
      <w:rPr>
        <w:sz w:val="24"/>
        <w:szCs w:val="24"/>
      </w:rPr>
      <w:t>Príloha č</w:t>
    </w:r>
    <w:r>
      <w:rPr>
        <w:sz w:val="24"/>
        <w:szCs w:val="24"/>
      </w:rPr>
      <w:t xml:space="preserve">. </w:t>
    </w:r>
    <w:r w:rsidR="00E76452">
      <w:rPr>
        <w:sz w:val="24"/>
        <w:szCs w:val="24"/>
      </w:rPr>
      <w:t>4</w:t>
    </w:r>
  </w:p>
  <w:p w:rsidR="009F2DFA" w:rsidRDefault="009F2DFA">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620D9"/>
    <w:multiLevelType w:val="hybridMultilevel"/>
    <w:tmpl w:val="BE7EA20A"/>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
    <w:nsid w:val="16B66859"/>
    <w:multiLevelType w:val="hybridMultilevel"/>
    <w:tmpl w:val="F4145CF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nsid w:val="1A7B1750"/>
    <w:multiLevelType w:val="hybridMultilevel"/>
    <w:tmpl w:val="B858A45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nsid w:val="1E962657"/>
    <w:multiLevelType w:val="hybridMultilevel"/>
    <w:tmpl w:val="8A1CBCA2"/>
    <w:lvl w:ilvl="0" w:tplc="E85A4956">
      <w:start w:val="1"/>
      <w:numFmt w:val="bullet"/>
      <w:lvlText w:val="­"/>
      <w:lvlJc w:val="left"/>
      <w:pPr>
        <w:ind w:left="807" w:hanging="360"/>
      </w:pPr>
      <w:rPr>
        <w:rFonts w:ascii="Times New Roman" w:hAnsi="Times New Roman" w:cs="Times New Roman" w:hint="default"/>
      </w:rPr>
    </w:lvl>
    <w:lvl w:ilvl="1" w:tplc="041B0003" w:tentative="1">
      <w:start w:val="1"/>
      <w:numFmt w:val="bullet"/>
      <w:lvlText w:val="o"/>
      <w:lvlJc w:val="left"/>
      <w:pPr>
        <w:ind w:left="1527" w:hanging="360"/>
      </w:pPr>
      <w:rPr>
        <w:rFonts w:ascii="Courier New" w:hAnsi="Courier New" w:cs="Courier New" w:hint="default"/>
      </w:rPr>
    </w:lvl>
    <w:lvl w:ilvl="2" w:tplc="041B0005" w:tentative="1">
      <w:start w:val="1"/>
      <w:numFmt w:val="bullet"/>
      <w:lvlText w:val=""/>
      <w:lvlJc w:val="left"/>
      <w:pPr>
        <w:ind w:left="2247" w:hanging="360"/>
      </w:pPr>
      <w:rPr>
        <w:rFonts w:ascii="Wingdings" w:hAnsi="Wingdings" w:hint="default"/>
      </w:rPr>
    </w:lvl>
    <w:lvl w:ilvl="3" w:tplc="041B0001" w:tentative="1">
      <w:start w:val="1"/>
      <w:numFmt w:val="bullet"/>
      <w:lvlText w:val=""/>
      <w:lvlJc w:val="left"/>
      <w:pPr>
        <w:ind w:left="2967" w:hanging="360"/>
      </w:pPr>
      <w:rPr>
        <w:rFonts w:ascii="Symbol" w:hAnsi="Symbol" w:hint="default"/>
      </w:rPr>
    </w:lvl>
    <w:lvl w:ilvl="4" w:tplc="041B0003" w:tentative="1">
      <w:start w:val="1"/>
      <w:numFmt w:val="bullet"/>
      <w:lvlText w:val="o"/>
      <w:lvlJc w:val="left"/>
      <w:pPr>
        <w:ind w:left="3687" w:hanging="360"/>
      </w:pPr>
      <w:rPr>
        <w:rFonts w:ascii="Courier New" w:hAnsi="Courier New" w:cs="Courier New" w:hint="default"/>
      </w:rPr>
    </w:lvl>
    <w:lvl w:ilvl="5" w:tplc="041B0005" w:tentative="1">
      <w:start w:val="1"/>
      <w:numFmt w:val="bullet"/>
      <w:lvlText w:val=""/>
      <w:lvlJc w:val="left"/>
      <w:pPr>
        <w:ind w:left="4407" w:hanging="360"/>
      </w:pPr>
      <w:rPr>
        <w:rFonts w:ascii="Wingdings" w:hAnsi="Wingdings" w:hint="default"/>
      </w:rPr>
    </w:lvl>
    <w:lvl w:ilvl="6" w:tplc="041B0001" w:tentative="1">
      <w:start w:val="1"/>
      <w:numFmt w:val="bullet"/>
      <w:lvlText w:val=""/>
      <w:lvlJc w:val="left"/>
      <w:pPr>
        <w:ind w:left="5127" w:hanging="360"/>
      </w:pPr>
      <w:rPr>
        <w:rFonts w:ascii="Symbol" w:hAnsi="Symbol" w:hint="default"/>
      </w:rPr>
    </w:lvl>
    <w:lvl w:ilvl="7" w:tplc="041B0003" w:tentative="1">
      <w:start w:val="1"/>
      <w:numFmt w:val="bullet"/>
      <w:lvlText w:val="o"/>
      <w:lvlJc w:val="left"/>
      <w:pPr>
        <w:ind w:left="5847" w:hanging="360"/>
      </w:pPr>
      <w:rPr>
        <w:rFonts w:ascii="Courier New" w:hAnsi="Courier New" w:cs="Courier New" w:hint="default"/>
      </w:rPr>
    </w:lvl>
    <w:lvl w:ilvl="8" w:tplc="041B0005" w:tentative="1">
      <w:start w:val="1"/>
      <w:numFmt w:val="bullet"/>
      <w:lvlText w:val=""/>
      <w:lvlJc w:val="left"/>
      <w:pPr>
        <w:ind w:left="6567" w:hanging="360"/>
      </w:pPr>
      <w:rPr>
        <w:rFonts w:ascii="Wingdings" w:hAnsi="Wingdings" w:hint="default"/>
      </w:rPr>
    </w:lvl>
  </w:abstractNum>
  <w:abstractNum w:abstractNumId="4">
    <w:nsid w:val="279B31BB"/>
    <w:multiLevelType w:val="hybridMultilevel"/>
    <w:tmpl w:val="904093F2"/>
    <w:lvl w:ilvl="0" w:tplc="E85A4956">
      <w:start w:val="1"/>
      <w:numFmt w:val="bullet"/>
      <w:lvlText w:val="­"/>
      <w:lvlJc w:val="left"/>
      <w:pPr>
        <w:ind w:left="807" w:hanging="360"/>
      </w:pPr>
      <w:rPr>
        <w:rFonts w:ascii="Times New Roman" w:hAnsi="Times New Roman" w:cs="Times New Roman" w:hint="default"/>
      </w:rPr>
    </w:lvl>
    <w:lvl w:ilvl="1" w:tplc="041B0003" w:tentative="1">
      <w:start w:val="1"/>
      <w:numFmt w:val="bullet"/>
      <w:lvlText w:val="o"/>
      <w:lvlJc w:val="left"/>
      <w:pPr>
        <w:ind w:left="1527" w:hanging="360"/>
      </w:pPr>
      <w:rPr>
        <w:rFonts w:ascii="Courier New" w:hAnsi="Courier New" w:cs="Courier New" w:hint="default"/>
      </w:rPr>
    </w:lvl>
    <w:lvl w:ilvl="2" w:tplc="041B0005" w:tentative="1">
      <w:start w:val="1"/>
      <w:numFmt w:val="bullet"/>
      <w:lvlText w:val=""/>
      <w:lvlJc w:val="left"/>
      <w:pPr>
        <w:ind w:left="2247" w:hanging="360"/>
      </w:pPr>
      <w:rPr>
        <w:rFonts w:ascii="Wingdings" w:hAnsi="Wingdings" w:hint="default"/>
      </w:rPr>
    </w:lvl>
    <w:lvl w:ilvl="3" w:tplc="041B0001" w:tentative="1">
      <w:start w:val="1"/>
      <w:numFmt w:val="bullet"/>
      <w:lvlText w:val=""/>
      <w:lvlJc w:val="left"/>
      <w:pPr>
        <w:ind w:left="2967" w:hanging="360"/>
      </w:pPr>
      <w:rPr>
        <w:rFonts w:ascii="Symbol" w:hAnsi="Symbol" w:hint="default"/>
      </w:rPr>
    </w:lvl>
    <w:lvl w:ilvl="4" w:tplc="041B0003" w:tentative="1">
      <w:start w:val="1"/>
      <w:numFmt w:val="bullet"/>
      <w:lvlText w:val="o"/>
      <w:lvlJc w:val="left"/>
      <w:pPr>
        <w:ind w:left="3687" w:hanging="360"/>
      </w:pPr>
      <w:rPr>
        <w:rFonts w:ascii="Courier New" w:hAnsi="Courier New" w:cs="Courier New" w:hint="default"/>
      </w:rPr>
    </w:lvl>
    <w:lvl w:ilvl="5" w:tplc="041B0005" w:tentative="1">
      <w:start w:val="1"/>
      <w:numFmt w:val="bullet"/>
      <w:lvlText w:val=""/>
      <w:lvlJc w:val="left"/>
      <w:pPr>
        <w:ind w:left="4407" w:hanging="360"/>
      </w:pPr>
      <w:rPr>
        <w:rFonts w:ascii="Wingdings" w:hAnsi="Wingdings" w:hint="default"/>
      </w:rPr>
    </w:lvl>
    <w:lvl w:ilvl="6" w:tplc="041B0001" w:tentative="1">
      <w:start w:val="1"/>
      <w:numFmt w:val="bullet"/>
      <w:lvlText w:val=""/>
      <w:lvlJc w:val="left"/>
      <w:pPr>
        <w:ind w:left="5127" w:hanging="360"/>
      </w:pPr>
      <w:rPr>
        <w:rFonts w:ascii="Symbol" w:hAnsi="Symbol" w:hint="default"/>
      </w:rPr>
    </w:lvl>
    <w:lvl w:ilvl="7" w:tplc="041B0003" w:tentative="1">
      <w:start w:val="1"/>
      <w:numFmt w:val="bullet"/>
      <w:lvlText w:val="o"/>
      <w:lvlJc w:val="left"/>
      <w:pPr>
        <w:ind w:left="5847" w:hanging="360"/>
      </w:pPr>
      <w:rPr>
        <w:rFonts w:ascii="Courier New" w:hAnsi="Courier New" w:cs="Courier New" w:hint="default"/>
      </w:rPr>
    </w:lvl>
    <w:lvl w:ilvl="8" w:tplc="041B0005" w:tentative="1">
      <w:start w:val="1"/>
      <w:numFmt w:val="bullet"/>
      <w:lvlText w:val=""/>
      <w:lvlJc w:val="left"/>
      <w:pPr>
        <w:ind w:left="6567" w:hanging="360"/>
      </w:pPr>
      <w:rPr>
        <w:rFonts w:ascii="Wingdings" w:hAnsi="Wingdings" w:hint="default"/>
      </w:rPr>
    </w:lvl>
  </w:abstractNum>
  <w:abstractNum w:abstractNumId="5">
    <w:nsid w:val="302D65B4"/>
    <w:multiLevelType w:val="hybridMultilevel"/>
    <w:tmpl w:val="05EEF732"/>
    <w:lvl w:ilvl="0" w:tplc="041B0001">
      <w:start w:val="1"/>
      <w:numFmt w:val="bullet"/>
      <w:lvlText w:val=""/>
      <w:lvlJc w:val="left"/>
      <w:pPr>
        <w:ind w:left="1428" w:hanging="360"/>
      </w:pPr>
      <w:rPr>
        <w:rFonts w:ascii="Symbol" w:hAnsi="Symbol"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6">
    <w:nsid w:val="3A620081"/>
    <w:multiLevelType w:val="hybridMultilevel"/>
    <w:tmpl w:val="EFA41548"/>
    <w:lvl w:ilvl="0" w:tplc="041B0001">
      <w:start w:val="1"/>
      <w:numFmt w:val="bullet"/>
      <w:lvlText w:val=""/>
      <w:lvlJc w:val="left"/>
      <w:pPr>
        <w:ind w:left="1428" w:hanging="360"/>
      </w:pPr>
      <w:rPr>
        <w:rFonts w:ascii="Symbol" w:hAnsi="Symbol"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7">
    <w:nsid w:val="3B2702CF"/>
    <w:multiLevelType w:val="hybridMultilevel"/>
    <w:tmpl w:val="B87C199E"/>
    <w:lvl w:ilvl="0" w:tplc="E85A4956">
      <w:start w:val="1"/>
      <w:numFmt w:val="bullet"/>
      <w:lvlText w:val="­"/>
      <w:lvlJc w:val="left"/>
      <w:pPr>
        <w:ind w:left="720" w:hanging="360"/>
      </w:pPr>
      <w:rPr>
        <w:rFonts w:ascii="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nsid w:val="51061FCA"/>
    <w:multiLevelType w:val="hybridMultilevel"/>
    <w:tmpl w:val="E41E0C36"/>
    <w:lvl w:ilvl="0" w:tplc="041B000F">
      <w:start w:val="1"/>
      <w:numFmt w:val="decimal"/>
      <w:lvlText w:val="%1."/>
      <w:lvlJc w:val="left"/>
      <w:pPr>
        <w:ind w:left="1088" w:hanging="360"/>
      </w:pPr>
    </w:lvl>
    <w:lvl w:ilvl="1" w:tplc="041B0019" w:tentative="1">
      <w:start w:val="1"/>
      <w:numFmt w:val="lowerLetter"/>
      <w:lvlText w:val="%2."/>
      <w:lvlJc w:val="left"/>
      <w:pPr>
        <w:ind w:left="1808" w:hanging="360"/>
      </w:pPr>
    </w:lvl>
    <w:lvl w:ilvl="2" w:tplc="041B001B" w:tentative="1">
      <w:start w:val="1"/>
      <w:numFmt w:val="lowerRoman"/>
      <w:lvlText w:val="%3."/>
      <w:lvlJc w:val="right"/>
      <w:pPr>
        <w:ind w:left="2528" w:hanging="180"/>
      </w:pPr>
    </w:lvl>
    <w:lvl w:ilvl="3" w:tplc="041B000F" w:tentative="1">
      <w:start w:val="1"/>
      <w:numFmt w:val="decimal"/>
      <w:lvlText w:val="%4."/>
      <w:lvlJc w:val="left"/>
      <w:pPr>
        <w:ind w:left="3248" w:hanging="360"/>
      </w:pPr>
    </w:lvl>
    <w:lvl w:ilvl="4" w:tplc="041B0019" w:tentative="1">
      <w:start w:val="1"/>
      <w:numFmt w:val="lowerLetter"/>
      <w:lvlText w:val="%5."/>
      <w:lvlJc w:val="left"/>
      <w:pPr>
        <w:ind w:left="3968" w:hanging="360"/>
      </w:pPr>
    </w:lvl>
    <w:lvl w:ilvl="5" w:tplc="041B001B" w:tentative="1">
      <w:start w:val="1"/>
      <w:numFmt w:val="lowerRoman"/>
      <w:lvlText w:val="%6."/>
      <w:lvlJc w:val="right"/>
      <w:pPr>
        <w:ind w:left="4688" w:hanging="180"/>
      </w:pPr>
    </w:lvl>
    <w:lvl w:ilvl="6" w:tplc="041B000F" w:tentative="1">
      <w:start w:val="1"/>
      <w:numFmt w:val="decimal"/>
      <w:lvlText w:val="%7."/>
      <w:lvlJc w:val="left"/>
      <w:pPr>
        <w:ind w:left="5408" w:hanging="360"/>
      </w:pPr>
    </w:lvl>
    <w:lvl w:ilvl="7" w:tplc="041B0019" w:tentative="1">
      <w:start w:val="1"/>
      <w:numFmt w:val="lowerLetter"/>
      <w:lvlText w:val="%8."/>
      <w:lvlJc w:val="left"/>
      <w:pPr>
        <w:ind w:left="6128" w:hanging="360"/>
      </w:pPr>
    </w:lvl>
    <w:lvl w:ilvl="8" w:tplc="041B001B" w:tentative="1">
      <w:start w:val="1"/>
      <w:numFmt w:val="lowerRoman"/>
      <w:lvlText w:val="%9."/>
      <w:lvlJc w:val="right"/>
      <w:pPr>
        <w:ind w:left="6848" w:hanging="180"/>
      </w:pPr>
    </w:lvl>
  </w:abstractNum>
  <w:abstractNum w:abstractNumId="9">
    <w:nsid w:val="524C7B1F"/>
    <w:multiLevelType w:val="hybridMultilevel"/>
    <w:tmpl w:val="5D6C5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39704E7"/>
    <w:multiLevelType w:val="hybridMultilevel"/>
    <w:tmpl w:val="B858A45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nsid w:val="5B0C2D03"/>
    <w:multiLevelType w:val="hybridMultilevel"/>
    <w:tmpl w:val="1EFC2948"/>
    <w:lvl w:ilvl="0" w:tplc="041B0001">
      <w:start w:val="1"/>
      <w:numFmt w:val="bullet"/>
      <w:lvlText w:val=""/>
      <w:lvlJc w:val="left"/>
      <w:pPr>
        <w:ind w:left="1428" w:hanging="360"/>
      </w:pPr>
      <w:rPr>
        <w:rFonts w:ascii="Symbol" w:hAnsi="Symbol"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12">
    <w:nsid w:val="5CCE19A5"/>
    <w:multiLevelType w:val="hybridMultilevel"/>
    <w:tmpl w:val="E66AFDB2"/>
    <w:lvl w:ilvl="0" w:tplc="E85A4956">
      <w:start w:val="1"/>
      <w:numFmt w:val="bullet"/>
      <w:lvlText w:val="­"/>
      <w:lvlJc w:val="left"/>
      <w:pPr>
        <w:ind w:left="720" w:hanging="360"/>
      </w:pPr>
      <w:rPr>
        <w:rFonts w:ascii="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nsid w:val="5E680BAD"/>
    <w:multiLevelType w:val="hybridMultilevel"/>
    <w:tmpl w:val="41D4CC1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nsid w:val="5FE46C3F"/>
    <w:multiLevelType w:val="hybridMultilevel"/>
    <w:tmpl w:val="1C9CF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4E908DE"/>
    <w:multiLevelType w:val="hybridMultilevel"/>
    <w:tmpl w:val="A0DED040"/>
    <w:lvl w:ilvl="0" w:tplc="041B0001">
      <w:start w:val="1"/>
      <w:numFmt w:val="bullet"/>
      <w:lvlText w:val=""/>
      <w:lvlJc w:val="left"/>
      <w:pPr>
        <w:ind w:left="1004" w:hanging="360"/>
      </w:pPr>
      <w:rPr>
        <w:rFonts w:ascii="Symbol" w:hAnsi="Symbol"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16">
    <w:nsid w:val="68833080"/>
    <w:multiLevelType w:val="hybridMultilevel"/>
    <w:tmpl w:val="E85A8616"/>
    <w:lvl w:ilvl="0" w:tplc="328A3888">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nsid w:val="6C194A1D"/>
    <w:multiLevelType w:val="hybridMultilevel"/>
    <w:tmpl w:val="B858A45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nsid w:val="7B7F06E0"/>
    <w:multiLevelType w:val="hybridMultilevel"/>
    <w:tmpl w:val="33EA1EE4"/>
    <w:lvl w:ilvl="0" w:tplc="041B0001">
      <w:start w:val="1"/>
      <w:numFmt w:val="bullet"/>
      <w:lvlText w:val=""/>
      <w:lvlJc w:val="left"/>
      <w:pPr>
        <w:ind w:left="1428" w:hanging="360"/>
      </w:pPr>
      <w:rPr>
        <w:rFonts w:ascii="Symbol" w:hAnsi="Symbol"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19">
    <w:nsid w:val="7BD86751"/>
    <w:multiLevelType w:val="hybridMultilevel"/>
    <w:tmpl w:val="A46C651C"/>
    <w:lvl w:ilvl="0" w:tplc="BF081C00">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12"/>
  </w:num>
  <w:num w:numId="2">
    <w:abstractNumId w:val="7"/>
  </w:num>
  <w:num w:numId="3">
    <w:abstractNumId w:val="14"/>
  </w:num>
  <w:num w:numId="4">
    <w:abstractNumId w:val="13"/>
  </w:num>
  <w:num w:numId="5">
    <w:abstractNumId w:val="1"/>
  </w:num>
  <w:num w:numId="6">
    <w:abstractNumId w:val="9"/>
  </w:num>
  <w:num w:numId="7">
    <w:abstractNumId w:val="16"/>
  </w:num>
  <w:num w:numId="8">
    <w:abstractNumId w:val="5"/>
  </w:num>
  <w:num w:numId="9">
    <w:abstractNumId w:val="0"/>
  </w:num>
  <w:num w:numId="10">
    <w:abstractNumId w:val="18"/>
  </w:num>
  <w:num w:numId="11">
    <w:abstractNumId w:val="11"/>
  </w:num>
  <w:num w:numId="12">
    <w:abstractNumId w:val="6"/>
  </w:num>
  <w:num w:numId="13">
    <w:abstractNumId w:val="15"/>
  </w:num>
  <w:num w:numId="14">
    <w:abstractNumId w:val="3"/>
  </w:num>
  <w:num w:numId="15">
    <w:abstractNumId w:val="4"/>
  </w:num>
  <w:num w:numId="16">
    <w:abstractNumId w:val="19"/>
  </w:num>
  <w:num w:numId="17">
    <w:abstractNumId w:val="8"/>
  </w:num>
  <w:num w:numId="18">
    <w:abstractNumId w:val="2"/>
  </w:num>
  <w:num w:numId="19">
    <w:abstractNumId w:val="10"/>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5C13"/>
    <w:rsid w:val="00007468"/>
    <w:rsid w:val="000102F6"/>
    <w:rsid w:val="00010E60"/>
    <w:rsid w:val="00030C4B"/>
    <w:rsid w:val="00062CEE"/>
    <w:rsid w:val="000A542F"/>
    <w:rsid w:val="000D23DB"/>
    <w:rsid w:val="000F5254"/>
    <w:rsid w:val="00131796"/>
    <w:rsid w:val="00154881"/>
    <w:rsid w:val="0016097E"/>
    <w:rsid w:val="00194867"/>
    <w:rsid w:val="0021399F"/>
    <w:rsid w:val="002547ED"/>
    <w:rsid w:val="00277F69"/>
    <w:rsid w:val="002B1108"/>
    <w:rsid w:val="002B7A16"/>
    <w:rsid w:val="002D2A98"/>
    <w:rsid w:val="002F23BC"/>
    <w:rsid w:val="003F1819"/>
    <w:rsid w:val="004417E7"/>
    <w:rsid w:val="00491CF0"/>
    <w:rsid w:val="004A1D60"/>
    <w:rsid w:val="004D0445"/>
    <w:rsid w:val="0052297F"/>
    <w:rsid w:val="00526611"/>
    <w:rsid w:val="00567687"/>
    <w:rsid w:val="005B2DBB"/>
    <w:rsid w:val="005C61EF"/>
    <w:rsid w:val="00716375"/>
    <w:rsid w:val="0073030E"/>
    <w:rsid w:val="00744ADA"/>
    <w:rsid w:val="00780BA6"/>
    <w:rsid w:val="00780DE0"/>
    <w:rsid w:val="00781F6F"/>
    <w:rsid w:val="007B73C1"/>
    <w:rsid w:val="00837639"/>
    <w:rsid w:val="00851896"/>
    <w:rsid w:val="008A1252"/>
    <w:rsid w:val="008F6C1F"/>
    <w:rsid w:val="00904C9B"/>
    <w:rsid w:val="00922654"/>
    <w:rsid w:val="0093021F"/>
    <w:rsid w:val="0097218A"/>
    <w:rsid w:val="009B5595"/>
    <w:rsid w:val="009F2DFA"/>
    <w:rsid w:val="00A07099"/>
    <w:rsid w:val="00A12D31"/>
    <w:rsid w:val="00AC6EB6"/>
    <w:rsid w:val="00B22CFA"/>
    <w:rsid w:val="00B31A8E"/>
    <w:rsid w:val="00B34814"/>
    <w:rsid w:val="00BA073A"/>
    <w:rsid w:val="00BC567E"/>
    <w:rsid w:val="00C9180F"/>
    <w:rsid w:val="00CB3623"/>
    <w:rsid w:val="00CF5960"/>
    <w:rsid w:val="00D17FE3"/>
    <w:rsid w:val="00E76452"/>
    <w:rsid w:val="00E86AD1"/>
    <w:rsid w:val="00EA094A"/>
    <w:rsid w:val="00ED70BA"/>
    <w:rsid w:val="00F27049"/>
    <w:rsid w:val="00F41620"/>
    <w:rsid w:val="00F461E1"/>
    <w:rsid w:val="00F70A4D"/>
    <w:rsid w:val="00F74B4A"/>
    <w:rsid w:val="00F83F91"/>
    <w:rsid w:val="00FB5C13"/>
    <w:rsid w:val="00FE06D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9F2DFA"/>
    <w:pPr>
      <w:spacing w:after="0" w:line="240" w:lineRule="auto"/>
    </w:pPr>
    <w:rPr>
      <w:rFonts w:ascii="Times New Roman" w:eastAsia="Times New Roman" w:hAnsi="Times New Roman" w:cs="Times New Roman"/>
      <w:sz w:val="20"/>
      <w:szCs w:val="2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59"/>
    <w:rsid w:val="009F2D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ekzoznamu">
    <w:name w:val="List Paragraph"/>
    <w:aliases w:val="body,Dot pt,No Spacing1,List Paragraph Char Char Char,Indicator Text,Numbered Para 1,List Paragraph à moi,Odsek zoznamu4,LISTA,List Paragraph1,Listaszerű bekezdés2,Listaszerű bekezdés3,Listaszerű bekezdés1,Bullet 1,Bullet Points,3"/>
    <w:basedOn w:val="Normlny"/>
    <w:link w:val="OdsekzoznamuChar"/>
    <w:uiPriority w:val="34"/>
    <w:qFormat/>
    <w:rsid w:val="009F2DFA"/>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BodyText1">
    <w:name w:val="Body Text1"/>
    <w:qFormat/>
    <w:rsid w:val="009F2DFA"/>
    <w:pPr>
      <w:spacing w:after="120" w:line="240" w:lineRule="auto"/>
    </w:pPr>
    <w:rPr>
      <w:rFonts w:ascii="Arial" w:eastAsia="Times New Roman" w:hAnsi="Arial" w:cs="Times New Roman"/>
      <w:color w:val="000000"/>
      <w:sz w:val="19"/>
      <w:szCs w:val="48"/>
    </w:rPr>
  </w:style>
  <w:style w:type="paragraph" w:styleId="Normlnywebov">
    <w:name w:val="Normal (Web)"/>
    <w:basedOn w:val="Normlny"/>
    <w:uiPriority w:val="99"/>
    <w:unhideWhenUsed/>
    <w:rsid w:val="009F2DFA"/>
    <w:pPr>
      <w:spacing w:before="100" w:beforeAutospacing="1" w:after="100" w:afterAutospacing="1"/>
    </w:pPr>
    <w:rPr>
      <w:rFonts w:eastAsiaTheme="minorEastAsia"/>
      <w:sz w:val="24"/>
      <w:szCs w:val="24"/>
      <w:lang w:val="en-US" w:eastAsia="en-US"/>
    </w:rPr>
  </w:style>
  <w:style w:type="paragraph" w:customStyle="1" w:styleId="Deloittebodytext">
    <w:name w:val="Deloitte body text"/>
    <w:qFormat/>
    <w:rsid w:val="009F2DFA"/>
    <w:pPr>
      <w:spacing w:after="240" w:line="280" w:lineRule="exact"/>
      <w:jc w:val="both"/>
    </w:pPr>
    <w:rPr>
      <w:rFonts w:ascii="Arial" w:eastAsia="Times New Roman" w:hAnsi="Arial" w:cs="Times New Roman"/>
      <w:color w:val="000000"/>
      <w:szCs w:val="48"/>
    </w:rPr>
  </w:style>
  <w:style w:type="paragraph" w:customStyle="1" w:styleId="TableColumnheader">
    <w:name w:val="Table Column header"/>
    <w:basedOn w:val="Normlny"/>
    <w:rsid w:val="009F2DFA"/>
    <w:pPr>
      <w:spacing w:before="80" w:after="80"/>
    </w:pPr>
    <w:rPr>
      <w:rFonts w:ascii="Arial" w:eastAsia="Times" w:hAnsi="Arial"/>
      <w:b/>
      <w:noProof/>
      <w:color w:val="FFFFFF"/>
      <w:sz w:val="18"/>
      <w:szCs w:val="24"/>
      <w:lang w:val="en-US" w:eastAsia="en-US"/>
    </w:rPr>
  </w:style>
  <w:style w:type="paragraph" w:styleId="Textbubliny">
    <w:name w:val="Balloon Text"/>
    <w:basedOn w:val="Normlny"/>
    <w:link w:val="TextbublinyChar"/>
    <w:uiPriority w:val="99"/>
    <w:semiHidden/>
    <w:unhideWhenUsed/>
    <w:rsid w:val="009F2DFA"/>
    <w:rPr>
      <w:rFonts w:ascii="Tahoma" w:hAnsi="Tahoma" w:cs="Tahoma"/>
      <w:sz w:val="16"/>
      <w:szCs w:val="16"/>
    </w:rPr>
  </w:style>
  <w:style w:type="character" w:customStyle="1" w:styleId="TextbublinyChar">
    <w:name w:val="Text bubliny Char"/>
    <w:basedOn w:val="Predvolenpsmoodseku"/>
    <w:link w:val="Textbubliny"/>
    <w:uiPriority w:val="99"/>
    <w:semiHidden/>
    <w:rsid w:val="009F2DFA"/>
    <w:rPr>
      <w:rFonts w:ascii="Tahoma" w:eastAsia="Times New Roman" w:hAnsi="Tahoma" w:cs="Tahoma"/>
      <w:sz w:val="16"/>
      <w:szCs w:val="16"/>
      <w:lang w:eastAsia="sk-SK"/>
    </w:rPr>
  </w:style>
  <w:style w:type="paragraph" w:styleId="Hlavika">
    <w:name w:val="header"/>
    <w:basedOn w:val="Normlny"/>
    <w:link w:val="HlavikaChar"/>
    <w:uiPriority w:val="99"/>
    <w:unhideWhenUsed/>
    <w:rsid w:val="009F2DFA"/>
    <w:pPr>
      <w:tabs>
        <w:tab w:val="center" w:pos="4536"/>
        <w:tab w:val="right" w:pos="9072"/>
      </w:tabs>
    </w:pPr>
  </w:style>
  <w:style w:type="character" w:customStyle="1" w:styleId="HlavikaChar">
    <w:name w:val="Hlavička Char"/>
    <w:basedOn w:val="Predvolenpsmoodseku"/>
    <w:link w:val="Hlavika"/>
    <w:uiPriority w:val="99"/>
    <w:rsid w:val="009F2DFA"/>
    <w:rPr>
      <w:rFonts w:ascii="Times New Roman" w:eastAsia="Times New Roman" w:hAnsi="Times New Roman" w:cs="Times New Roman"/>
      <w:sz w:val="20"/>
      <w:szCs w:val="20"/>
      <w:lang w:eastAsia="sk-SK"/>
    </w:rPr>
  </w:style>
  <w:style w:type="paragraph" w:styleId="Pta">
    <w:name w:val="footer"/>
    <w:basedOn w:val="Normlny"/>
    <w:link w:val="PtaChar"/>
    <w:uiPriority w:val="99"/>
    <w:unhideWhenUsed/>
    <w:rsid w:val="009F2DFA"/>
    <w:pPr>
      <w:tabs>
        <w:tab w:val="center" w:pos="4536"/>
        <w:tab w:val="right" w:pos="9072"/>
      </w:tabs>
    </w:pPr>
  </w:style>
  <w:style w:type="character" w:customStyle="1" w:styleId="PtaChar">
    <w:name w:val="Päta Char"/>
    <w:basedOn w:val="Predvolenpsmoodseku"/>
    <w:link w:val="Pta"/>
    <w:uiPriority w:val="99"/>
    <w:rsid w:val="009F2DFA"/>
    <w:rPr>
      <w:rFonts w:ascii="Times New Roman" w:eastAsia="Times New Roman" w:hAnsi="Times New Roman" w:cs="Times New Roman"/>
      <w:sz w:val="20"/>
      <w:szCs w:val="20"/>
      <w:lang w:eastAsia="sk-SK"/>
    </w:rPr>
  </w:style>
  <w:style w:type="character" w:styleId="Odkaznakomentr">
    <w:name w:val="annotation reference"/>
    <w:basedOn w:val="Predvolenpsmoodseku"/>
    <w:uiPriority w:val="99"/>
    <w:semiHidden/>
    <w:unhideWhenUsed/>
    <w:rsid w:val="00EA094A"/>
    <w:rPr>
      <w:sz w:val="16"/>
      <w:szCs w:val="16"/>
    </w:rPr>
  </w:style>
  <w:style w:type="paragraph" w:styleId="Textkomentra">
    <w:name w:val="annotation text"/>
    <w:basedOn w:val="Normlny"/>
    <w:link w:val="TextkomentraChar"/>
    <w:uiPriority w:val="99"/>
    <w:semiHidden/>
    <w:unhideWhenUsed/>
    <w:rsid w:val="00EA094A"/>
  </w:style>
  <w:style w:type="character" w:customStyle="1" w:styleId="TextkomentraChar">
    <w:name w:val="Text komentára Char"/>
    <w:basedOn w:val="Predvolenpsmoodseku"/>
    <w:link w:val="Textkomentra"/>
    <w:uiPriority w:val="99"/>
    <w:semiHidden/>
    <w:rsid w:val="00EA094A"/>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EA094A"/>
    <w:rPr>
      <w:b/>
      <w:bCs/>
    </w:rPr>
  </w:style>
  <w:style w:type="character" w:customStyle="1" w:styleId="PredmetkomentraChar">
    <w:name w:val="Predmet komentára Char"/>
    <w:basedOn w:val="TextkomentraChar"/>
    <w:link w:val="Predmetkomentra"/>
    <w:uiPriority w:val="99"/>
    <w:semiHidden/>
    <w:rsid w:val="00EA094A"/>
    <w:rPr>
      <w:rFonts w:ascii="Times New Roman" w:eastAsia="Times New Roman" w:hAnsi="Times New Roman" w:cs="Times New Roman"/>
      <w:b/>
      <w:bCs/>
      <w:sz w:val="20"/>
      <w:szCs w:val="20"/>
      <w:lang w:eastAsia="sk-SK"/>
    </w:rPr>
  </w:style>
  <w:style w:type="table" w:customStyle="1" w:styleId="Mriekatabuky4">
    <w:name w:val="Mriežka tabuľky4"/>
    <w:basedOn w:val="Normlnatabuka"/>
    <w:next w:val="Mriekatabuky"/>
    <w:uiPriority w:val="59"/>
    <w:rsid w:val="00F270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ekzoznamuChar">
    <w:name w:val="Odsek zoznamu Char"/>
    <w:aliases w:val="body Char,Dot pt Char,No Spacing1 Char,List Paragraph Char Char Char Char,Indicator Text Char,Numbered Para 1 Char,List Paragraph à moi Char,Odsek zoznamu4 Char,LISTA Char,List Paragraph1 Char,Listaszerű bekezdés2 Char,Bullet 1 Char"/>
    <w:link w:val="Odsekzoznamu"/>
    <w:uiPriority w:val="34"/>
    <w:qFormat/>
    <w:locked/>
    <w:rsid w:val="0085189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9F2DFA"/>
    <w:pPr>
      <w:spacing w:after="0" w:line="240" w:lineRule="auto"/>
    </w:pPr>
    <w:rPr>
      <w:rFonts w:ascii="Times New Roman" w:eastAsia="Times New Roman" w:hAnsi="Times New Roman" w:cs="Times New Roman"/>
      <w:sz w:val="20"/>
      <w:szCs w:val="2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59"/>
    <w:rsid w:val="009F2D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ekzoznamu">
    <w:name w:val="List Paragraph"/>
    <w:aliases w:val="body,Dot pt,No Spacing1,List Paragraph Char Char Char,Indicator Text,Numbered Para 1,List Paragraph à moi,Odsek zoznamu4,LISTA,List Paragraph1,Listaszerű bekezdés2,Listaszerű bekezdés3,Listaszerű bekezdés1,Bullet 1,Bullet Points,3"/>
    <w:basedOn w:val="Normlny"/>
    <w:link w:val="OdsekzoznamuChar"/>
    <w:uiPriority w:val="34"/>
    <w:qFormat/>
    <w:rsid w:val="009F2DFA"/>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BodyText1">
    <w:name w:val="Body Text1"/>
    <w:qFormat/>
    <w:rsid w:val="009F2DFA"/>
    <w:pPr>
      <w:spacing w:after="120" w:line="240" w:lineRule="auto"/>
    </w:pPr>
    <w:rPr>
      <w:rFonts w:ascii="Arial" w:eastAsia="Times New Roman" w:hAnsi="Arial" w:cs="Times New Roman"/>
      <w:color w:val="000000"/>
      <w:sz w:val="19"/>
      <w:szCs w:val="48"/>
    </w:rPr>
  </w:style>
  <w:style w:type="paragraph" w:styleId="Normlnywebov">
    <w:name w:val="Normal (Web)"/>
    <w:basedOn w:val="Normlny"/>
    <w:uiPriority w:val="99"/>
    <w:unhideWhenUsed/>
    <w:rsid w:val="009F2DFA"/>
    <w:pPr>
      <w:spacing w:before="100" w:beforeAutospacing="1" w:after="100" w:afterAutospacing="1"/>
    </w:pPr>
    <w:rPr>
      <w:rFonts w:eastAsiaTheme="minorEastAsia"/>
      <w:sz w:val="24"/>
      <w:szCs w:val="24"/>
      <w:lang w:val="en-US" w:eastAsia="en-US"/>
    </w:rPr>
  </w:style>
  <w:style w:type="paragraph" w:customStyle="1" w:styleId="Deloittebodytext">
    <w:name w:val="Deloitte body text"/>
    <w:qFormat/>
    <w:rsid w:val="009F2DFA"/>
    <w:pPr>
      <w:spacing w:after="240" w:line="280" w:lineRule="exact"/>
      <w:jc w:val="both"/>
    </w:pPr>
    <w:rPr>
      <w:rFonts w:ascii="Arial" w:eastAsia="Times New Roman" w:hAnsi="Arial" w:cs="Times New Roman"/>
      <w:color w:val="000000"/>
      <w:szCs w:val="48"/>
    </w:rPr>
  </w:style>
  <w:style w:type="paragraph" w:customStyle="1" w:styleId="TableColumnheader">
    <w:name w:val="Table Column header"/>
    <w:basedOn w:val="Normlny"/>
    <w:rsid w:val="009F2DFA"/>
    <w:pPr>
      <w:spacing w:before="80" w:after="80"/>
    </w:pPr>
    <w:rPr>
      <w:rFonts w:ascii="Arial" w:eastAsia="Times" w:hAnsi="Arial"/>
      <w:b/>
      <w:noProof/>
      <w:color w:val="FFFFFF"/>
      <w:sz w:val="18"/>
      <w:szCs w:val="24"/>
      <w:lang w:val="en-US" w:eastAsia="en-US"/>
    </w:rPr>
  </w:style>
  <w:style w:type="paragraph" w:styleId="Textbubliny">
    <w:name w:val="Balloon Text"/>
    <w:basedOn w:val="Normlny"/>
    <w:link w:val="TextbublinyChar"/>
    <w:uiPriority w:val="99"/>
    <w:semiHidden/>
    <w:unhideWhenUsed/>
    <w:rsid w:val="009F2DFA"/>
    <w:rPr>
      <w:rFonts w:ascii="Tahoma" w:hAnsi="Tahoma" w:cs="Tahoma"/>
      <w:sz w:val="16"/>
      <w:szCs w:val="16"/>
    </w:rPr>
  </w:style>
  <w:style w:type="character" w:customStyle="1" w:styleId="TextbublinyChar">
    <w:name w:val="Text bubliny Char"/>
    <w:basedOn w:val="Predvolenpsmoodseku"/>
    <w:link w:val="Textbubliny"/>
    <w:uiPriority w:val="99"/>
    <w:semiHidden/>
    <w:rsid w:val="009F2DFA"/>
    <w:rPr>
      <w:rFonts w:ascii="Tahoma" w:eastAsia="Times New Roman" w:hAnsi="Tahoma" w:cs="Tahoma"/>
      <w:sz w:val="16"/>
      <w:szCs w:val="16"/>
      <w:lang w:eastAsia="sk-SK"/>
    </w:rPr>
  </w:style>
  <w:style w:type="paragraph" w:styleId="Hlavika">
    <w:name w:val="header"/>
    <w:basedOn w:val="Normlny"/>
    <w:link w:val="HlavikaChar"/>
    <w:uiPriority w:val="99"/>
    <w:unhideWhenUsed/>
    <w:rsid w:val="009F2DFA"/>
    <w:pPr>
      <w:tabs>
        <w:tab w:val="center" w:pos="4536"/>
        <w:tab w:val="right" w:pos="9072"/>
      </w:tabs>
    </w:pPr>
  </w:style>
  <w:style w:type="character" w:customStyle="1" w:styleId="HlavikaChar">
    <w:name w:val="Hlavička Char"/>
    <w:basedOn w:val="Predvolenpsmoodseku"/>
    <w:link w:val="Hlavika"/>
    <w:uiPriority w:val="99"/>
    <w:rsid w:val="009F2DFA"/>
    <w:rPr>
      <w:rFonts w:ascii="Times New Roman" w:eastAsia="Times New Roman" w:hAnsi="Times New Roman" w:cs="Times New Roman"/>
      <w:sz w:val="20"/>
      <w:szCs w:val="20"/>
      <w:lang w:eastAsia="sk-SK"/>
    </w:rPr>
  </w:style>
  <w:style w:type="paragraph" w:styleId="Pta">
    <w:name w:val="footer"/>
    <w:basedOn w:val="Normlny"/>
    <w:link w:val="PtaChar"/>
    <w:uiPriority w:val="99"/>
    <w:unhideWhenUsed/>
    <w:rsid w:val="009F2DFA"/>
    <w:pPr>
      <w:tabs>
        <w:tab w:val="center" w:pos="4536"/>
        <w:tab w:val="right" w:pos="9072"/>
      </w:tabs>
    </w:pPr>
  </w:style>
  <w:style w:type="character" w:customStyle="1" w:styleId="PtaChar">
    <w:name w:val="Päta Char"/>
    <w:basedOn w:val="Predvolenpsmoodseku"/>
    <w:link w:val="Pta"/>
    <w:uiPriority w:val="99"/>
    <w:rsid w:val="009F2DFA"/>
    <w:rPr>
      <w:rFonts w:ascii="Times New Roman" w:eastAsia="Times New Roman" w:hAnsi="Times New Roman" w:cs="Times New Roman"/>
      <w:sz w:val="20"/>
      <w:szCs w:val="20"/>
      <w:lang w:eastAsia="sk-SK"/>
    </w:rPr>
  </w:style>
  <w:style w:type="character" w:styleId="Odkaznakomentr">
    <w:name w:val="annotation reference"/>
    <w:basedOn w:val="Predvolenpsmoodseku"/>
    <w:uiPriority w:val="99"/>
    <w:semiHidden/>
    <w:unhideWhenUsed/>
    <w:rsid w:val="00EA094A"/>
    <w:rPr>
      <w:sz w:val="16"/>
      <w:szCs w:val="16"/>
    </w:rPr>
  </w:style>
  <w:style w:type="paragraph" w:styleId="Textkomentra">
    <w:name w:val="annotation text"/>
    <w:basedOn w:val="Normlny"/>
    <w:link w:val="TextkomentraChar"/>
    <w:uiPriority w:val="99"/>
    <w:semiHidden/>
    <w:unhideWhenUsed/>
    <w:rsid w:val="00EA094A"/>
  </w:style>
  <w:style w:type="character" w:customStyle="1" w:styleId="TextkomentraChar">
    <w:name w:val="Text komentára Char"/>
    <w:basedOn w:val="Predvolenpsmoodseku"/>
    <w:link w:val="Textkomentra"/>
    <w:uiPriority w:val="99"/>
    <w:semiHidden/>
    <w:rsid w:val="00EA094A"/>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EA094A"/>
    <w:rPr>
      <w:b/>
      <w:bCs/>
    </w:rPr>
  </w:style>
  <w:style w:type="character" w:customStyle="1" w:styleId="PredmetkomentraChar">
    <w:name w:val="Predmet komentára Char"/>
    <w:basedOn w:val="TextkomentraChar"/>
    <w:link w:val="Predmetkomentra"/>
    <w:uiPriority w:val="99"/>
    <w:semiHidden/>
    <w:rsid w:val="00EA094A"/>
    <w:rPr>
      <w:rFonts w:ascii="Times New Roman" w:eastAsia="Times New Roman" w:hAnsi="Times New Roman" w:cs="Times New Roman"/>
      <w:b/>
      <w:bCs/>
      <w:sz w:val="20"/>
      <w:szCs w:val="20"/>
      <w:lang w:eastAsia="sk-SK"/>
    </w:rPr>
  </w:style>
  <w:style w:type="table" w:customStyle="1" w:styleId="Mriekatabuky4">
    <w:name w:val="Mriežka tabuľky4"/>
    <w:basedOn w:val="Normlnatabuka"/>
    <w:next w:val="Mriekatabuky"/>
    <w:uiPriority w:val="59"/>
    <w:rsid w:val="00F270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ekzoznamuChar">
    <w:name w:val="Odsek zoznamu Char"/>
    <w:aliases w:val="body Char,Dot pt Char,No Spacing1 Char,List Paragraph Char Char Char Char,Indicator Text Char,Numbered Para 1 Char,List Paragraph à moi Char,Odsek zoznamu4 Char,LISTA Char,List Paragraph1 Char,Listaszerű bekezdés2 Char,Bullet 1 Char"/>
    <w:link w:val="Odsekzoznamu"/>
    <w:uiPriority w:val="34"/>
    <w:qFormat/>
    <w:locked/>
    <w:rsid w:val="008518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400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3</Pages>
  <Words>1311</Words>
  <Characters>7478</Characters>
  <Application>Microsoft Office Word</Application>
  <DocSecurity>0</DocSecurity>
  <Lines>62</Lines>
  <Paragraphs>17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8772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Simoncicova Iveta</dc:creator>
  <cp:lastModifiedBy>Mikulova Andrea</cp:lastModifiedBy>
  <cp:revision>4</cp:revision>
  <cp:lastPrinted>2017-04-13T08:24:00Z</cp:lastPrinted>
  <dcterms:created xsi:type="dcterms:W3CDTF">2017-06-21T14:24:00Z</dcterms:created>
  <dcterms:modified xsi:type="dcterms:W3CDTF">2017-06-21T15:02:00Z</dcterms:modified>
</cp:coreProperties>
</file>