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06" w:rsidRPr="00A179AE" w:rsidRDefault="00A74806" w:rsidP="00A74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A74806" w:rsidRPr="00BF3078" w:rsidRDefault="00A74806" w:rsidP="00A74806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74806" w:rsidRPr="00A179AE" w:rsidTr="007573A1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A74806" w:rsidRPr="00A179AE" w:rsidRDefault="00A74806" w:rsidP="007573A1">
            <w:pPr>
              <w:widowControl w:val="0"/>
            </w:pPr>
            <w:r>
              <w:t>Akčný plán energetickej efektívnosti na roky 2017-2019 s výhľadom do roku 2020</w:t>
            </w:r>
          </w:p>
          <w:p w:rsidR="00A74806" w:rsidRPr="00A179AE" w:rsidRDefault="00A74806" w:rsidP="007573A1">
            <w:pPr>
              <w:widowControl w:val="0"/>
            </w:pP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</w:pPr>
            <w:r>
              <w:t>Ministerstvo</w:t>
            </w:r>
            <w:r w:rsidRPr="00D64F82">
              <w:t xml:space="preserve"> hospodárstva Slovenskej republiky</w:t>
            </w:r>
          </w:p>
          <w:p w:rsidR="00A74806" w:rsidRPr="00A179AE" w:rsidRDefault="00A74806" w:rsidP="007573A1">
            <w:pPr>
              <w:widowControl w:val="0"/>
            </w:pPr>
          </w:p>
        </w:tc>
      </w:tr>
      <w:tr w:rsidR="00A74806" w:rsidRPr="00A179AE" w:rsidTr="007573A1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A74806" w:rsidRPr="00DA6FED" w:rsidRDefault="00A74806" w:rsidP="007573A1">
            <w:pPr>
              <w:pStyle w:val="Odsekzoznamu"/>
              <w:widowControl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jc w:val="center"/>
            </w:pPr>
            <w:r w:rsidRPr="00DA6FED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</w:pPr>
            <w:r w:rsidRPr="00A179AE">
              <w:t>Materiál nelegislatívnej povahy</w:t>
            </w:r>
          </w:p>
        </w:tc>
      </w:tr>
      <w:tr w:rsidR="00A74806" w:rsidRPr="00A179AE" w:rsidTr="007573A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A74806" w:rsidRPr="00A179AE" w:rsidRDefault="00A74806" w:rsidP="007573A1">
            <w:pPr>
              <w:widowControl w:val="0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jc w:val="center"/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ind w:left="175" w:hanging="175"/>
            </w:pPr>
            <w:r w:rsidRPr="00A179AE">
              <w:t>Materiál legislatívnej povahy</w:t>
            </w:r>
          </w:p>
        </w:tc>
      </w:tr>
      <w:tr w:rsidR="00A74806" w:rsidRPr="00A179AE" w:rsidTr="007573A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A74806" w:rsidRPr="00A179AE" w:rsidRDefault="00A74806" w:rsidP="007573A1">
            <w:pPr>
              <w:widowControl w:val="0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jc w:val="center"/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</w:pPr>
            <w:r w:rsidRPr="00A179AE">
              <w:t>Transpozícia práva EÚ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V prípade transpozície uveďte zoznam transponovaných predpisov:</w:t>
            </w:r>
          </w:p>
          <w:p w:rsidR="00A74806" w:rsidRPr="00A179AE" w:rsidRDefault="00A74806" w:rsidP="007573A1">
            <w:pPr>
              <w:widowControl w:val="0"/>
            </w:pPr>
          </w:p>
          <w:p w:rsidR="00A74806" w:rsidRPr="00A179AE" w:rsidRDefault="00A74806" w:rsidP="007573A1">
            <w:pPr>
              <w:widowControl w:val="0"/>
            </w:pPr>
          </w:p>
        </w:tc>
      </w:tr>
      <w:tr w:rsidR="00A74806" w:rsidRPr="00A179AE" w:rsidTr="007573A1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06" w:rsidRPr="00DA6FED" w:rsidRDefault="000148C4" w:rsidP="000148C4">
            <w:pPr>
              <w:widowControl w:val="0"/>
              <w:rPr>
                <w:i/>
              </w:rPr>
            </w:pPr>
            <w:r>
              <w:rPr>
                <w:i/>
              </w:rPr>
              <w:t>03</w:t>
            </w:r>
            <w:r w:rsidR="00A74806" w:rsidRPr="00DA6FED">
              <w:rPr>
                <w:i/>
              </w:rPr>
              <w:t>.03.2017-</w:t>
            </w:r>
            <w:r>
              <w:rPr>
                <w:i/>
              </w:rPr>
              <w:t>13</w:t>
            </w:r>
            <w:r w:rsidR="00A74806" w:rsidRPr="00DA6FED">
              <w:rPr>
                <w:i/>
              </w:rPr>
              <w:t>.03.2017</w:t>
            </w:r>
          </w:p>
        </w:tc>
      </w:tr>
      <w:tr w:rsidR="00A74806" w:rsidRPr="00A179AE" w:rsidTr="007573A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06" w:rsidRPr="00DA6FED" w:rsidRDefault="001E731B" w:rsidP="007573A1">
            <w:pPr>
              <w:widowControl w:val="0"/>
              <w:rPr>
                <w:i/>
              </w:rPr>
            </w:pPr>
            <w:r>
              <w:rPr>
                <w:i/>
              </w:rPr>
              <w:t>20</w:t>
            </w:r>
            <w:r w:rsidR="00A74806" w:rsidRPr="0033102C">
              <w:rPr>
                <w:i/>
              </w:rPr>
              <w:t>.-</w:t>
            </w:r>
            <w:r w:rsidR="00B07E06" w:rsidRPr="0033102C">
              <w:rPr>
                <w:i/>
              </w:rPr>
              <w:t>3</w:t>
            </w:r>
            <w:r w:rsidRPr="001E731B">
              <w:rPr>
                <w:i/>
              </w:rPr>
              <w:t>1</w:t>
            </w:r>
            <w:r w:rsidR="00A74806" w:rsidRPr="0033102C">
              <w:rPr>
                <w:i/>
              </w:rPr>
              <w:t>.03</w:t>
            </w:r>
            <w:r w:rsidR="001F3FFA" w:rsidRPr="0033102C">
              <w:rPr>
                <w:i/>
              </w:rPr>
              <w:t>.</w:t>
            </w:r>
            <w:r w:rsidR="00A74806" w:rsidRPr="0033102C">
              <w:rPr>
                <w:i/>
              </w:rPr>
              <w:t>2017</w:t>
            </w:r>
          </w:p>
        </w:tc>
      </w:tr>
      <w:tr w:rsidR="00A74806" w:rsidRPr="00A179AE" w:rsidTr="007573A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26.04.2017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</w:pP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A74806" w:rsidRPr="00A179AE" w:rsidTr="007573A1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 základné problémy, na ktoré navrhovaná regulácia reaguje.</w:t>
            </w:r>
          </w:p>
          <w:p w:rsidR="00A74806" w:rsidRPr="0027286E" w:rsidRDefault="00A74806" w:rsidP="007573A1">
            <w:pPr>
              <w:widowControl w:val="0"/>
            </w:pPr>
            <w:r w:rsidRPr="0027286E">
              <w:t xml:space="preserve">Akčný plán </w:t>
            </w:r>
            <w:r>
              <w:t>slúži na vyhodnotenie opatrení energetickej efektívnosti a vyhodnotenie plnenia cieľov v oblasti úspor energie, ako aj na plánovanie opatrení do budúcnosti potrebných na splnenie stanovených cieľov do roku 2020.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A74806" w:rsidRPr="00A179AE" w:rsidTr="007573A1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 hlavné ciele navrhovaného predpisu (aký výsledný stav chcete reguláciou dosiahnuť).</w:t>
            </w:r>
          </w:p>
          <w:p w:rsidR="00A74806" w:rsidRPr="00A179AE" w:rsidRDefault="00A74806" w:rsidP="007573A1">
            <w:pPr>
              <w:widowControl w:val="0"/>
            </w:pPr>
            <w:r>
              <w:t>Hlavným cieľom je plnenie záväzných cieľov energetickej efektívnosti stanovených na základe európskej legislatívy (najmä smernicou 2012/27/EÚ, ale aj smernicou 2006/32/ES). Ide najmä o cieľ úspor energie u konečného spotrebiteľa (čl. 7), národné indikatívne ciele energetickej efektívnosti a cieľ úspor energie budov.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 subjekty, ktorých sa zmeny návrhu dotknú priamo aj nepriamo:</w:t>
            </w:r>
          </w:p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-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A74806" w:rsidRPr="00A179AE" w:rsidTr="007573A1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Aké alternatívne riešenia boli posudzované?</w:t>
            </w:r>
          </w:p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Uveďte, aké alternatívne spôsoby na odstránenie definovaného problému boli identifikované a posudzované.</w:t>
            </w:r>
          </w:p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-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A74806" w:rsidRPr="00A179AE" w:rsidTr="007573A1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jc w:val="center"/>
            </w:pPr>
            <w:r w:rsidRPr="00DA6FED">
              <w:rPr>
                <w:rFonts w:ascii="MS Gothic" w:eastAsia="MS Gothic" w:hAnsi="MS Gothic" w:hint="eastAsia"/>
              </w:rPr>
              <w:t>☐</w:t>
            </w:r>
            <w:r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jc w:val="center"/>
            </w:pPr>
            <w:r w:rsidRPr="00DA6FED">
              <w:rPr>
                <w:rFonts w:ascii="MS Gothic" w:eastAsia="MS Gothic" w:hAnsi="MS Gothic" w:hint="eastAsia"/>
              </w:rPr>
              <w:t>☒</w:t>
            </w:r>
            <w:r w:rsidRPr="00A179AE">
              <w:t xml:space="preserve">  Nie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Ak áno, uveďte ktoré oblasti budú nimi upravené, resp. ktorých vykonávacích predpisov sa zmena dotkne:</w:t>
            </w:r>
          </w:p>
          <w:p w:rsidR="00A74806" w:rsidRPr="00A179AE" w:rsidRDefault="00A74806" w:rsidP="007573A1">
            <w:pPr>
              <w:widowControl w:val="0"/>
            </w:pP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A74806" w:rsidRPr="00A179AE" w:rsidTr="007573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A74806" w:rsidRPr="0027286E" w:rsidRDefault="00A74806" w:rsidP="007573A1">
            <w:pPr>
              <w:widowControl w:val="0"/>
            </w:pPr>
            <w:r>
              <w:t xml:space="preserve">Nerelevantné. </w:t>
            </w:r>
          </w:p>
        </w:tc>
      </w:tr>
      <w:tr w:rsidR="00A74806" w:rsidRPr="00A179AE" w:rsidTr="007573A1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806" w:rsidRPr="00A179AE" w:rsidRDefault="00A74806" w:rsidP="007573A1">
            <w:pPr>
              <w:widowControl w:val="0"/>
              <w:jc w:val="center"/>
            </w:pP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 termín, kedy by malo dôjsť k preskúmaniu účinnosti a účelnosti navrhovaného predpisu.</w:t>
            </w:r>
          </w:p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 kritériá, na základe ktorých bude preskúmanie vykonané.</w:t>
            </w:r>
          </w:p>
          <w:p w:rsidR="00A74806" w:rsidRPr="00DA6FED" w:rsidRDefault="00A74806" w:rsidP="007573A1">
            <w:pPr>
              <w:widowControl w:val="0"/>
              <w:rPr>
                <w:i/>
              </w:rPr>
            </w:pPr>
            <w:r>
              <w:t>Nerelevantné.</w:t>
            </w:r>
          </w:p>
          <w:p w:rsidR="00A74806" w:rsidRPr="00DA6FED" w:rsidRDefault="00A74806" w:rsidP="007573A1">
            <w:pPr>
              <w:widowControl w:val="0"/>
              <w:rPr>
                <w:i/>
              </w:rPr>
            </w:pPr>
          </w:p>
        </w:tc>
      </w:tr>
      <w:tr w:rsidR="00A74806" w:rsidRPr="00A179AE" w:rsidTr="007573A1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4806" w:rsidRDefault="00A74806" w:rsidP="007573A1">
            <w:pPr>
              <w:widowControl w:val="0"/>
              <w:ind w:left="142" w:hanging="142"/>
            </w:pPr>
          </w:p>
          <w:p w:rsidR="00A74806" w:rsidRDefault="00A74806" w:rsidP="007573A1">
            <w:pPr>
              <w:widowControl w:val="0"/>
              <w:ind w:left="142" w:hanging="142"/>
            </w:pPr>
          </w:p>
          <w:p w:rsidR="00A74806" w:rsidRDefault="00A74806" w:rsidP="007573A1">
            <w:pPr>
              <w:widowControl w:val="0"/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A74806" w:rsidRPr="00A179AE" w:rsidRDefault="00A74806" w:rsidP="007573A1">
            <w:pPr>
              <w:widowControl w:val="0"/>
            </w:pPr>
            <w:r>
              <w:t>** nepovinné</w:t>
            </w:r>
          </w:p>
        </w:tc>
      </w:tr>
      <w:tr w:rsidR="00A74806" w:rsidRPr="00A179AE" w:rsidTr="007573A1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b/>
              </w:rPr>
            </w:pPr>
          </w:p>
        </w:tc>
      </w:tr>
      <w:tr w:rsidR="00A74806" w:rsidRPr="00A179AE" w:rsidTr="007573A1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2668B6" w:rsidRPr="00A179AE" w:rsidTr="007573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left="-107" w:right="-108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left="34"/>
              <w:rPr>
                <w:b/>
              </w:rPr>
            </w:pPr>
            <w:r w:rsidRPr="00DA6FED">
              <w:rPr>
                <w:b/>
              </w:rPr>
              <w:t>Negatívne</w:t>
            </w:r>
          </w:p>
        </w:tc>
      </w:tr>
      <w:tr w:rsidR="002668B6" w:rsidRPr="00A179AE" w:rsidTr="007573A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2668B6" w:rsidRPr="00A179AE" w:rsidRDefault="002668B6" w:rsidP="002668B6">
            <w:pPr>
              <w:widowControl w:val="0"/>
            </w:pPr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jc w:val="center"/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</w:pPr>
            <w:r w:rsidRPr="00A179AE"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jc w:val="center"/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</w:pPr>
            <w:r w:rsidRPr="00A179AE"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ind w:left="-107" w:right="-108"/>
              <w:jc w:val="center"/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ind w:left="34"/>
            </w:pPr>
            <w:r w:rsidRPr="00A179AE">
              <w:t>Čiastočne</w:t>
            </w:r>
          </w:p>
        </w:tc>
      </w:tr>
      <w:tr w:rsidR="002668B6" w:rsidRPr="00A179AE" w:rsidTr="007573A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68B6" w:rsidRPr="00B07E06" w:rsidRDefault="002668B6" w:rsidP="002668B6">
            <w:pPr>
              <w:widowControl w:val="0"/>
              <w:rPr>
                <w:b/>
              </w:rPr>
            </w:pPr>
            <w:r w:rsidRPr="00B07E06">
              <w:rPr>
                <w:b/>
              </w:rPr>
              <w:t xml:space="preserve">Vplyvy na </w:t>
            </w:r>
            <w:r w:rsidRPr="0033102C">
              <w:rPr>
                <w:b/>
              </w:rPr>
              <w:t>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right="-108"/>
              <w:rPr>
                <w:b/>
              </w:rPr>
            </w:pPr>
            <w:r w:rsidRPr="00DA6FE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B07E0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left="54"/>
              <w:rPr>
                <w:b/>
              </w:rPr>
            </w:pPr>
            <w:r w:rsidRPr="00DA6FED">
              <w:rPr>
                <w:b/>
              </w:rPr>
              <w:t>Negatívne</w:t>
            </w:r>
          </w:p>
        </w:tc>
      </w:tr>
      <w:tr w:rsidR="002668B6" w:rsidRPr="00A179AE" w:rsidTr="007573A1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668B6" w:rsidRPr="00B07E06" w:rsidRDefault="002668B6" w:rsidP="002668B6">
            <w:pPr>
              <w:widowControl w:val="0"/>
            </w:pPr>
            <w:r w:rsidRPr="00B07E06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jc w:val="center"/>
            </w:pPr>
            <w:r w:rsidRPr="00DA6FED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jc w:val="center"/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</w:pPr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A179AE" w:rsidRDefault="00B07E06" w:rsidP="002668B6">
            <w:pPr>
              <w:widowControl w:val="0"/>
              <w:jc w:val="center"/>
            </w:pPr>
            <w:r w:rsidRPr="00DA6FED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A179AE" w:rsidRDefault="002668B6" w:rsidP="002668B6">
            <w:pPr>
              <w:widowControl w:val="0"/>
              <w:ind w:left="54"/>
            </w:pPr>
            <w:r w:rsidRPr="00A179AE">
              <w:t>Negatívne</w:t>
            </w:r>
          </w:p>
        </w:tc>
      </w:tr>
      <w:tr w:rsidR="002668B6" w:rsidRPr="00A179AE" w:rsidTr="007573A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68B6" w:rsidRPr="00B07E06" w:rsidRDefault="002668B6" w:rsidP="002668B6">
            <w:pPr>
              <w:widowControl w:val="0"/>
              <w:rPr>
                <w:b/>
              </w:rPr>
            </w:pPr>
            <w:r w:rsidRPr="0033102C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B07E0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right="-108"/>
              <w:rPr>
                <w:b/>
              </w:rPr>
            </w:pPr>
            <w:r w:rsidRPr="00DA6FE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B07E0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left="54"/>
              <w:rPr>
                <w:b/>
              </w:rPr>
            </w:pPr>
            <w:r w:rsidRPr="00DA6FED">
              <w:rPr>
                <w:b/>
              </w:rPr>
              <w:t>Negatívne</w:t>
            </w:r>
          </w:p>
        </w:tc>
      </w:tr>
      <w:tr w:rsidR="002668B6" w:rsidRPr="00A179AE" w:rsidTr="007573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right="-108"/>
              <w:rPr>
                <w:b/>
              </w:rPr>
            </w:pPr>
            <w:r w:rsidRPr="00DA6FE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left="54"/>
              <w:rPr>
                <w:b/>
              </w:rPr>
            </w:pPr>
            <w:r w:rsidRPr="00DA6FED">
              <w:rPr>
                <w:b/>
              </w:rPr>
              <w:t>Negatívne</w:t>
            </w:r>
          </w:p>
        </w:tc>
      </w:tr>
      <w:tr w:rsidR="002668B6" w:rsidRPr="00A179AE" w:rsidTr="007573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right="-108"/>
              <w:rPr>
                <w:b/>
              </w:rPr>
            </w:pPr>
            <w:r w:rsidRPr="00DA6FED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rPr>
                <w:b/>
              </w:rPr>
            </w:pPr>
            <w:r w:rsidRPr="00DA6FED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jc w:val="center"/>
              <w:rPr>
                <w:b/>
              </w:rPr>
            </w:pPr>
            <w:r w:rsidRPr="00DA6FED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B6" w:rsidRPr="00DA6FED" w:rsidRDefault="002668B6" w:rsidP="002668B6">
            <w:pPr>
              <w:widowControl w:val="0"/>
              <w:ind w:left="54"/>
              <w:rPr>
                <w:b/>
              </w:rPr>
            </w:pPr>
            <w:r w:rsidRPr="00DA6FED">
              <w:rPr>
                <w:b/>
              </w:rPr>
              <w:t>Negatívne</w:t>
            </w:r>
          </w:p>
        </w:tc>
      </w:tr>
    </w:tbl>
    <w:p w:rsidR="00A74806" w:rsidRPr="00DA6FED" w:rsidRDefault="00A74806" w:rsidP="00A74806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A74806" w:rsidRPr="00A179AE" w:rsidTr="007573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4806" w:rsidRPr="00653ADA" w:rsidRDefault="00A74806" w:rsidP="007573A1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806" w:rsidRPr="00653ADA" w:rsidRDefault="00A74806" w:rsidP="007573A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806" w:rsidRPr="00653ADA" w:rsidRDefault="00A74806" w:rsidP="007573A1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806" w:rsidRPr="00653ADA" w:rsidRDefault="00A74806" w:rsidP="007573A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806" w:rsidRPr="00653ADA" w:rsidRDefault="00A74806" w:rsidP="007573A1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806" w:rsidRPr="00653ADA" w:rsidRDefault="00A74806" w:rsidP="007573A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806" w:rsidRPr="00653ADA" w:rsidRDefault="00A74806" w:rsidP="007573A1">
            <w:pPr>
              <w:ind w:left="54"/>
              <w:rPr>
                <w:b/>
              </w:rPr>
            </w:pPr>
          </w:p>
        </w:tc>
      </w:tr>
      <w:tr w:rsidR="00A74806" w:rsidRPr="009634B3" w:rsidTr="007573A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4806" w:rsidRPr="009634B3" w:rsidRDefault="00A74806" w:rsidP="007573A1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806" w:rsidRPr="00A179AE" w:rsidRDefault="00A74806" w:rsidP="007573A1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74806" w:rsidRPr="009634B3" w:rsidTr="007573A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4806" w:rsidRPr="009634B3" w:rsidRDefault="00A74806" w:rsidP="007573A1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806" w:rsidRPr="00A179AE" w:rsidRDefault="00A74806" w:rsidP="007573A1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06" w:rsidRPr="00A179AE" w:rsidRDefault="00A74806" w:rsidP="007573A1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A74806" w:rsidRPr="00A179AE" w:rsidRDefault="00A74806" w:rsidP="00A74806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A74806" w:rsidRPr="00A179AE" w:rsidTr="007573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Poznámky</w:t>
            </w:r>
          </w:p>
        </w:tc>
      </w:tr>
      <w:tr w:rsidR="00A74806" w:rsidRPr="00A179AE" w:rsidTr="007573A1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74806" w:rsidRPr="00DA6FED" w:rsidRDefault="00A74806" w:rsidP="00BF188E">
            <w:pPr>
              <w:widowControl w:val="0"/>
              <w:jc w:val="both"/>
              <w:rPr>
                <w:i/>
              </w:rPr>
            </w:pPr>
            <w:r w:rsidRPr="00DA6FED">
              <w:rPr>
                <w:i/>
              </w:rPr>
              <w:t>V prípade potreby uveďte doplňujúce informácie k návrhu.</w:t>
            </w:r>
          </w:p>
          <w:p w:rsidR="00BF188E" w:rsidRDefault="00A74806" w:rsidP="00BF188E">
            <w:pPr>
              <w:widowControl w:val="0"/>
              <w:jc w:val="both"/>
            </w:pPr>
            <w:r w:rsidRPr="00925F0D">
              <w:t xml:space="preserve">Návrh </w:t>
            </w:r>
            <w:r>
              <w:t xml:space="preserve">akčného plánu nezavádza žiadne nové opatrenia, iba vyhodnocuje existujúce a uvádza </w:t>
            </w:r>
            <w:r w:rsidR="00733F96">
              <w:t xml:space="preserve">plánované </w:t>
            </w:r>
            <w:r>
              <w:t xml:space="preserve">opatrenia na ďalšie obdobie 2014-2019 s výhľadom do roku 2020. </w:t>
            </w:r>
            <w:r w:rsidR="00BF188E">
              <w:t xml:space="preserve">Vplyvy vyplývajú zo samotných opatrení, ktoré boli schválené inými dokumentami. </w:t>
            </w:r>
            <w:r w:rsidR="0029149A">
              <w:t xml:space="preserve">Z tohto dôvodu </w:t>
            </w:r>
            <w:r>
              <w:t xml:space="preserve">z návrhu nevyplývajú žiadne </w:t>
            </w:r>
            <w:r w:rsidRPr="0029149A">
              <w:rPr>
                <w:u w:val="single"/>
              </w:rPr>
              <w:t>dodatočné</w:t>
            </w:r>
            <w:r>
              <w:t xml:space="preserve"> vplyvy </w:t>
            </w:r>
            <w:r w:rsidRPr="00405FB5">
              <w:t>na  rozpočet verejnej správy</w:t>
            </w:r>
            <w:r>
              <w:t xml:space="preserve">, </w:t>
            </w:r>
            <w:r w:rsidR="00BF188E">
              <w:t>čiže materiál nezakladá žiadne dodatočné nároky na rozpočet verejnej správy. Analýza predstavuje návrh, nakoľko nie všetky rezorty</w:t>
            </w:r>
            <w:r w:rsidR="005A6A17">
              <w:t xml:space="preserve"> zodpovedné za jednotlivé opatrenia</w:t>
            </w:r>
            <w:r w:rsidR="00BF188E">
              <w:t xml:space="preserve"> dodali požadované údaje v stanovenom čase. </w:t>
            </w:r>
          </w:p>
          <w:p w:rsidR="00BF188E" w:rsidRDefault="00BF188E" w:rsidP="00BF188E">
            <w:pPr>
              <w:widowControl w:val="0"/>
              <w:jc w:val="both"/>
            </w:pPr>
          </w:p>
          <w:p w:rsidR="00BF188E" w:rsidRDefault="00BF188E" w:rsidP="00BF188E">
            <w:pPr>
              <w:widowControl w:val="0"/>
              <w:jc w:val="both"/>
            </w:pPr>
            <w:r>
              <w:t xml:space="preserve">Predpokladá sa, že jednotlivé </w:t>
            </w:r>
            <w:r w:rsidR="006C3C1B">
              <w:t>opatrenia obsiahnuté v materiáli</w:t>
            </w:r>
            <w:r>
              <w:t xml:space="preserve"> budú mať pozitívne vplyvy na podnikateľské subjekty (vrátane MSP), a to najmä na subjekty pôsobiace v oblasti stavebníctva, v energetickom priemysle, v priemyselných odvetviach zameraných na výrobu stavebníckych materiálov, ako aj subjekty p</w:t>
            </w:r>
            <w:r w:rsidR="006C3C1B">
              <w:t>oskytujúce energetické služby.</w:t>
            </w:r>
            <w:r w:rsidR="00B07E06">
              <w:t xml:space="preserve"> Niektoré opatrenia </w:t>
            </w:r>
            <w:r w:rsidR="00D7438E">
              <w:t>obsiahnuté v materiáli, ktoré vyplývajú</w:t>
            </w:r>
            <w:r w:rsidR="00B07E06">
              <w:t xml:space="preserve"> z</w:t>
            </w:r>
            <w:r w:rsidR="00D7438E">
              <w:t> </w:t>
            </w:r>
            <w:r w:rsidR="00B07E06">
              <w:t>legislatívy</w:t>
            </w:r>
            <w:r w:rsidR="00D7438E">
              <w:t>,</w:t>
            </w:r>
            <w:r w:rsidR="00B07E06">
              <w:t xml:space="preserve"> môžu mať aj negatívne vplyvy vyplývajúce zo zvýšených investičných výdavkov, avšak tieto investície sa vrátia vo forme znížených prevádzkových nákladov. </w:t>
            </w:r>
          </w:p>
          <w:p w:rsidR="00BF188E" w:rsidRDefault="00BF188E" w:rsidP="00BF188E">
            <w:pPr>
              <w:widowControl w:val="0"/>
              <w:jc w:val="both"/>
            </w:pPr>
          </w:p>
          <w:p w:rsidR="00BF188E" w:rsidRDefault="006C3C1B" w:rsidP="00BF188E">
            <w:pPr>
              <w:widowControl w:val="0"/>
              <w:jc w:val="both"/>
            </w:pPr>
            <w:r>
              <w:t>Opatrenia obsiahnuté v materiáli</w:t>
            </w:r>
            <w:r w:rsidR="00BF188E">
              <w:t xml:space="preserve"> majú pozitívny vplyv na životné</w:t>
            </w:r>
            <w:r w:rsidR="00BF188E" w:rsidRPr="00925F0D">
              <w:t xml:space="preserve"> prostredie</w:t>
            </w:r>
            <w:r w:rsidR="00BF188E">
              <w:t xml:space="preserve"> (ide najmä o vplyv na emisie skleníkových plynov), avšak vzhľadom na to, že celkové emisie závisia od budúceho energetického mixu, tieto nie je možné momentálne kvantifikovať.</w:t>
            </w:r>
          </w:p>
          <w:p w:rsidR="00495EF4" w:rsidRDefault="00495EF4" w:rsidP="00BF188E">
            <w:pPr>
              <w:widowControl w:val="0"/>
              <w:jc w:val="both"/>
            </w:pPr>
          </w:p>
          <w:p w:rsidR="00495EF4" w:rsidRDefault="00495EF4" w:rsidP="00BF188E">
            <w:pPr>
              <w:widowControl w:val="0"/>
              <w:jc w:val="both"/>
            </w:pPr>
            <w:r>
              <w:t>Opatrenia obsiahnuté v materiáli môžu mať pozitívne sociálne vplyvy</w:t>
            </w:r>
            <w:r w:rsidR="008F30A0">
              <w:t xml:space="preserve">, a to najmä opatrenia realizované v domácnostiach, ktoré </w:t>
            </w:r>
            <w:r w:rsidR="008F30A0">
              <w:rPr>
                <w:rFonts w:eastAsia="Calibri"/>
              </w:rPr>
              <w:t>môžu viesť k zníženiu nákladov domácností na energiu. Opatrenia vykonané v budovách môžu mať priaznivé vplyvy na zdravie a produktivitu.</w:t>
            </w:r>
          </w:p>
          <w:p w:rsidR="00BF188E" w:rsidRDefault="00BF188E" w:rsidP="00BF188E">
            <w:pPr>
              <w:widowControl w:val="0"/>
              <w:jc w:val="both"/>
            </w:pPr>
          </w:p>
          <w:p w:rsidR="00BF188E" w:rsidRDefault="00BF188E" w:rsidP="00BF188E">
            <w:pPr>
              <w:widowControl w:val="0"/>
              <w:jc w:val="both"/>
            </w:pPr>
            <w:r>
              <w:t>Materiál nemá žiadny vplyv</w:t>
            </w:r>
            <w:r w:rsidR="00A74806">
              <w:t xml:space="preserve"> </w:t>
            </w:r>
            <w:r w:rsidR="00A74806" w:rsidRPr="00925F0D">
              <w:t>na informatizáciu</w:t>
            </w:r>
            <w:r w:rsidR="00200BDE">
              <w:t xml:space="preserve"> ani</w:t>
            </w:r>
            <w:r w:rsidR="00A74806">
              <w:t xml:space="preserve"> </w:t>
            </w:r>
            <w:r w:rsidR="00A74806" w:rsidRPr="00925F0D">
              <w:t>na služby verejnej správy pre občana</w:t>
            </w:r>
            <w:r w:rsidR="00A74806">
              <w:t xml:space="preserve">. </w:t>
            </w:r>
          </w:p>
          <w:p w:rsidR="0068176C" w:rsidRDefault="0068176C" w:rsidP="000E1423">
            <w:pPr>
              <w:widowControl w:val="0"/>
              <w:jc w:val="both"/>
            </w:pPr>
          </w:p>
          <w:p w:rsidR="0029149A" w:rsidRPr="00925F0D" w:rsidRDefault="0029149A">
            <w:pPr>
              <w:widowControl w:val="0"/>
              <w:jc w:val="both"/>
            </w:pPr>
            <w:r>
              <w:t>Príjmy</w:t>
            </w:r>
            <w:r w:rsidR="00200BDE">
              <w:t xml:space="preserve"> v analýze vplyvov na verejnú správu</w:t>
            </w:r>
            <w:r w:rsidR="00BF188E">
              <w:t xml:space="preserve"> boli vypočítané na základe odporučenia zo strany </w:t>
            </w:r>
            <w:r w:rsidR="00BF188E" w:rsidRPr="00AD3041">
              <w:t xml:space="preserve">MF SR </w:t>
            </w:r>
            <w:r w:rsidR="00AD3041">
              <w:t>počas prípravy</w:t>
            </w:r>
            <w:r w:rsidR="00BF188E">
              <w:t xml:space="preserve"> </w:t>
            </w:r>
            <w:r w:rsidR="00AD3041">
              <w:t xml:space="preserve">návrhu </w:t>
            </w:r>
            <w:r w:rsidR="00BF188E">
              <w:t>materiálu Akčný plán energe</w:t>
            </w:r>
            <w:r w:rsidR="00AD3041">
              <w:t>tickej efektívnosti na roky 2014-2016</w:t>
            </w:r>
            <w:r w:rsidR="00BF188E">
              <w:t xml:space="preserve"> s výhľadom do roku 2020</w:t>
            </w:r>
            <w:r w:rsidR="00AD3041">
              <w:t xml:space="preserve"> (schválený 9.7.2014)</w:t>
            </w:r>
            <w:r w:rsidR="000E1423">
              <w:t xml:space="preserve">, a zahŕňajú </w:t>
            </w:r>
            <w:r w:rsidR="000E1423" w:rsidRPr="000E1423">
              <w:t>najmä príjmy zo zdrojov EÚ na financovanie projektov európskych štrukt</w:t>
            </w:r>
            <w:r w:rsidR="000E1423">
              <w:t>urálnych a investičných fondov</w:t>
            </w:r>
            <w:r w:rsidR="000E1423" w:rsidRPr="000E1423">
              <w:t>, ako aj príjmy z daní z tovarov a služieb súvisiacich s realizáciou určitých opatrení energetickej efektívnosti.</w:t>
            </w:r>
          </w:p>
        </w:tc>
      </w:tr>
      <w:tr w:rsidR="00A74806" w:rsidRPr="00A179AE" w:rsidTr="007573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A74806" w:rsidRPr="00A179AE" w:rsidTr="007573A1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t>Uveďte údaje na kontaktnú osobu, ktorú je možné kontaktovať v súvislosti s posúdením vybraných vplyvov</w:t>
            </w:r>
          </w:p>
          <w:p w:rsidR="00A74806" w:rsidRPr="00DA6FED" w:rsidRDefault="00A74806" w:rsidP="007573A1">
            <w:pPr>
              <w:widowControl w:val="0"/>
              <w:rPr>
                <w:lang w:val="en-GB"/>
              </w:rPr>
            </w:pPr>
            <w:r>
              <w:t xml:space="preserve">Ing. Katarína </w:t>
            </w:r>
            <w:proofErr w:type="spellStart"/>
            <w:r>
              <w:t>Korytárová</w:t>
            </w:r>
            <w:proofErr w:type="spellEnd"/>
            <w:r>
              <w:t xml:space="preserve">, PhD., </w:t>
            </w:r>
            <w:hyperlink r:id="rId7" w:history="1">
              <w:r w:rsidRPr="00DA6FED">
                <w:rPr>
                  <w:rStyle w:val="Hypertextovprepojenie"/>
                  <w:rFonts w:eastAsia="Calibri"/>
                </w:rPr>
                <w:t>korytarova</w:t>
              </w:r>
              <w:r w:rsidRPr="00DA6FED">
                <w:rPr>
                  <w:rStyle w:val="Hypertextovprepojenie"/>
                  <w:rFonts w:eastAsia="Calibri"/>
                  <w:lang w:val="en-GB"/>
                </w:rPr>
                <w:t>@mhsr.sk</w:t>
              </w:r>
            </w:hyperlink>
            <w:r w:rsidRPr="00DA6FED">
              <w:rPr>
                <w:lang w:val="en-GB"/>
              </w:rPr>
              <w:t>, 02/4854 1941</w:t>
            </w:r>
          </w:p>
        </w:tc>
      </w:tr>
      <w:tr w:rsidR="00A74806" w:rsidRPr="00A179AE" w:rsidTr="007573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Zdroje</w:t>
            </w:r>
          </w:p>
        </w:tc>
      </w:tr>
      <w:tr w:rsidR="00A74806" w:rsidRPr="00A179AE" w:rsidTr="007573A1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06" w:rsidRPr="00DA6FED" w:rsidRDefault="00A74806" w:rsidP="007573A1">
            <w:pPr>
              <w:widowControl w:val="0"/>
              <w:rPr>
                <w:i/>
              </w:rPr>
            </w:pPr>
            <w:r w:rsidRPr="00DA6FED">
              <w:rPr>
                <w:i/>
              </w:rPr>
              <w:lastRenderedPageBreak/>
              <w:t>Uveďte zdroje (štatistiky, prieskumy, spoluprácu s odborníkmi a iné), z ktorých ste pri vypracovávaní doložky, príp. analýz vplyvov vychádzali.</w:t>
            </w:r>
          </w:p>
          <w:p w:rsidR="00A74806" w:rsidRPr="0027286E" w:rsidRDefault="00A74806" w:rsidP="007573A1">
            <w:pPr>
              <w:widowControl w:val="0"/>
            </w:pPr>
            <w:r>
              <w:t xml:space="preserve">Doložku na rozpočet verejnej správy </w:t>
            </w:r>
            <w:r w:rsidR="000148C4" w:rsidRPr="000148C4">
              <w:t xml:space="preserve">bola vypracovaná </w:t>
            </w:r>
            <w:bookmarkStart w:id="0" w:name="_GoBack"/>
            <w:bookmarkEnd w:id="0"/>
            <w:r>
              <w:t xml:space="preserve">na základe údajov o podporných mechanizmoch a v súčinnosti s  rezortmi, v ktorých pôsobnosti sú dané podporné mechanizmy. </w:t>
            </w:r>
          </w:p>
          <w:p w:rsidR="00A74806" w:rsidRPr="00DA6FED" w:rsidRDefault="00A74806" w:rsidP="007573A1">
            <w:pPr>
              <w:widowControl w:val="0"/>
              <w:rPr>
                <w:b/>
              </w:rPr>
            </w:pPr>
          </w:p>
        </w:tc>
      </w:tr>
      <w:tr w:rsidR="00A74806" w:rsidRPr="00A179AE" w:rsidTr="007573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74806" w:rsidRPr="00DA6FED" w:rsidRDefault="00A74806" w:rsidP="007573A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A6FED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A74806" w:rsidRPr="00A179AE" w:rsidTr="0033102C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74806" w:rsidRPr="00160CBD" w:rsidRDefault="00A74806" w:rsidP="007573A1">
            <w:pPr>
              <w:widowControl w:val="0"/>
              <w:rPr>
                <w:i/>
              </w:rPr>
            </w:pPr>
            <w:r w:rsidRPr="00160CBD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A74806" w:rsidRPr="00160CBD" w:rsidRDefault="006C120D" w:rsidP="006C120D">
            <w:pPr>
              <w:widowControl w:val="0"/>
            </w:pPr>
            <w:r w:rsidRPr="0033102C">
              <w:t>Stála pracovná komisia na posudzovanie vybraných vplyvov vyjadrila súhlasné stanovisko s návrhom na dopracovanie s materiálom s odporúčaním na jeho dopracovanie podľa pripomienok</w:t>
            </w:r>
            <w:r w:rsidR="007C1956" w:rsidRPr="00160CBD">
              <w:t>:</w:t>
            </w:r>
          </w:p>
          <w:p w:rsidR="007C1956" w:rsidRPr="0033102C" w:rsidRDefault="006C120D">
            <w:pPr>
              <w:widowControl w:val="0"/>
              <w:rPr>
                <w:rFonts w:eastAsia="Calibri"/>
                <w:b/>
                <w:u w:val="single"/>
                <w:lang w:eastAsia="en-US"/>
              </w:rPr>
            </w:pPr>
            <w:r w:rsidRPr="0033102C">
              <w:rPr>
                <w:b/>
                <w:u w:val="single"/>
              </w:rPr>
              <w:t xml:space="preserve">Sociálne vplyvy: </w:t>
            </w:r>
          </w:p>
          <w:p w:rsidR="006C120D" w:rsidRPr="00A247A0" w:rsidRDefault="006C120D" w:rsidP="0033102C">
            <w:pPr>
              <w:pStyle w:val="Odsekzoznamu"/>
              <w:widowControl w:val="0"/>
              <w:numPr>
                <w:ilvl w:val="0"/>
                <w:numId w:val="8"/>
              </w:numPr>
            </w:pPr>
            <w:r w:rsidRPr="00160CB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 prípade, že predkladateľ trvá na označení podnikateľských a environmentálnych vplyvov, je potrebné označiť aj pozitívne sociálne vplyvy v súvislosti s plánovanými opatreniami v sektore budov, dopravy a spotrebičov a vypracovať analýzu sociálnych vplyvov. zároveň je potrebné odstrániť z doložky informáciu o absencii sociálnych vplyvov a stručne zhrnúť vplyv plánovaných opatrení na obyvateľstvo. </w:t>
            </w:r>
          </w:p>
          <w:p w:rsidR="007C1956" w:rsidRPr="00A247A0" w:rsidRDefault="007C1956" w:rsidP="0033102C">
            <w:pPr>
              <w:pStyle w:val="Odsekzoznamu"/>
              <w:widowControl w:val="0"/>
              <w:numPr>
                <w:ilvl w:val="0"/>
                <w:numId w:val="8"/>
              </w:numPr>
            </w:pPr>
            <w:r w:rsidRPr="0033102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sk-SK"/>
              </w:rPr>
              <w:t>Vyhodnotenie</w:t>
            </w:r>
            <w:r w:rsidRPr="00160CB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: Pripomienka akceptovaná, v doložke uvedené pozitívne sociálne vplyvy a doplnená analýza sociálnych vplyvov. </w:t>
            </w:r>
          </w:p>
          <w:p w:rsidR="006C120D" w:rsidRPr="0033102C" w:rsidRDefault="006C120D">
            <w:pPr>
              <w:widowControl w:val="0"/>
              <w:rPr>
                <w:rFonts w:eastAsia="Calibri"/>
                <w:b/>
                <w:u w:val="single"/>
                <w:lang w:eastAsia="en-US"/>
              </w:rPr>
            </w:pPr>
            <w:r w:rsidRPr="0033102C">
              <w:rPr>
                <w:b/>
                <w:u w:val="single"/>
              </w:rPr>
              <w:t xml:space="preserve">Vplyvy na rozpočet verejnej správy: </w:t>
            </w:r>
          </w:p>
          <w:p w:rsidR="007C1956" w:rsidRPr="0033102C" w:rsidRDefault="007C1956" w:rsidP="007C1956">
            <w:pPr>
              <w:pStyle w:val="Odsekzoznamu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>Kapitola MDV SR:</w:t>
            </w:r>
          </w:p>
          <w:p w:rsidR="007C1956" w:rsidRPr="00160CBD" w:rsidRDefault="007C1956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 xml:space="preserve">V tabuľke sú vyčíslené výdavky zo zdrojov EÚ a spolufinancovania na programe 053 cestná infraštruktúra, na programe 07S železničná doprava, na programe 0XX autobusová doprava a verejná osobná doprava. Upozorňujeme, že na roky 2017 – 2019 táto kapitola nerozpočtuje výdavky zo zdrojov EÚ a spolufinancovania na uvedených programoch. Na cestnú infraštruktúru, na železničnú infraštruktúru a obnovu mobilných prostriedkov, na verejnú osobnú dopravu, na infraštruktúru vodnej dopravy a na technickú pomoc sú rozpočtované výdavky  zo zdrojov EÚ a spolufinancovania na programe 0EB Operačný program Integrovaná infraštruktúra. V roku 2019 sú výdavky zo zdrojov EÚ rozpočtované v sume 331 545 070 eur a sú nižšie ako sú kvantifikované výdavky zo zdrojov EÚ v analýze vplyvov. Autobusová doprava vecne nespadá do pôsobnosti MDV SR, preto na ňu nemôžu byť v tejto kapitole rozpočtované finančné prostriedky. V zmysle uvedeného žiadame prepracovať vplyvy na rozpočet verejnej správy za túto kapitolu. </w:t>
            </w:r>
          </w:p>
          <w:p w:rsidR="00200BDE" w:rsidRPr="0033102C" w:rsidRDefault="00200BDE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Vyhodnotenie</w:t>
            </w:r>
            <w:r w:rsidRPr="00160C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07AEA" w:rsidRPr="00160CB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Pripomienka akceptovaná</w:t>
            </w:r>
            <w:r w:rsidR="00D07AEA">
              <w:rPr>
                <w:rFonts w:ascii="Times New Roman" w:hAnsi="Times New Roman"/>
                <w:sz w:val="20"/>
                <w:szCs w:val="20"/>
              </w:rPr>
              <w:t>, v</w:t>
            </w:r>
            <w:r w:rsidR="00D07AEA" w:rsidRPr="00C72DC8">
              <w:rPr>
                <w:rFonts w:ascii="Times New Roman" w:hAnsi="Times New Roman"/>
                <w:sz w:val="20"/>
                <w:szCs w:val="20"/>
              </w:rPr>
              <w:t xml:space="preserve">plyvy na rozpočet verejnej správy </w:t>
            </w:r>
            <w:r w:rsidR="00D07AEA">
              <w:rPr>
                <w:rFonts w:ascii="Times New Roman" w:hAnsi="Times New Roman"/>
                <w:sz w:val="20"/>
                <w:szCs w:val="20"/>
              </w:rPr>
              <w:t>za kapitolu</w:t>
            </w:r>
            <w:r w:rsidRPr="00160CBD">
              <w:rPr>
                <w:rFonts w:ascii="Times New Roman" w:hAnsi="Times New Roman"/>
                <w:sz w:val="20"/>
                <w:szCs w:val="20"/>
              </w:rPr>
              <w:t xml:space="preserve"> MDV SR boli prepracované. </w:t>
            </w:r>
          </w:p>
          <w:p w:rsidR="007C1956" w:rsidRPr="0033102C" w:rsidRDefault="007C1956" w:rsidP="007C1956">
            <w:pPr>
              <w:pStyle w:val="Odsekzoznamu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>Kapitola MH SR</w:t>
            </w:r>
          </w:p>
          <w:p w:rsidR="007C1956" w:rsidRPr="0033102C" w:rsidRDefault="007C1956" w:rsidP="0033102C">
            <w:pPr>
              <w:pStyle w:val="Odsekzoznamu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 xml:space="preserve">- V tabuľke sú kvantifikované výdavky zo štátneho rozpočtu v sume 1 509 tis. eur (2017), 2 700 tis. eur (2018) a 2 500 tis. eur (2019) na programe 07L – Tvorba a implementácia politík. S uvedeným konštatovaním súhlasíme s podmienkou, že kapitola nebude v rámci prípravy rozpočtu verejnej správy na roky 2018 – 2020 požadovať navýšenie výdavkov na uvedený účel nad rámec stanovených limitov výdavkov MH SR. </w:t>
            </w:r>
          </w:p>
          <w:p w:rsidR="007C1956" w:rsidRPr="00160CBD" w:rsidRDefault="007C1956" w:rsidP="0033102C">
            <w:pPr>
              <w:pStyle w:val="Odsekzoznamu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 xml:space="preserve">- V prílohe č. 2 k materiálu je  uvedené opatrenie v pôsobnosti MH SR „Fiškálne stimuly pre priemyselné podniky“, pri ktorom je kvantifikované financovanie na roky 2017 až 2020 v sume 42 176 tis. eur. Z uvedeného nie je zrejmé, akú formu podpory predstavujú fiškálne stimuly. Žiadame preto v materiáli špecifikovať formu fiškálnych stimulov a ich zabezpečenosť v rozpočte verejnej správy na roky 2017 až 2019. V prípade, že tieto opatrenia nebudú rozpočtovo zabezpečené, žiadame ich vypustiť z prílohy č. 2. </w:t>
            </w:r>
          </w:p>
          <w:p w:rsidR="00200BDE" w:rsidRPr="00160CBD" w:rsidRDefault="00200BDE" w:rsidP="00200BDE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Vyhodnotenie</w:t>
            </w:r>
            <w:r w:rsidRPr="00160CBD">
              <w:rPr>
                <w:rFonts w:ascii="Times New Roman" w:hAnsi="Times New Roman"/>
                <w:sz w:val="20"/>
                <w:szCs w:val="20"/>
              </w:rPr>
              <w:t>: Pripomienka akceptovaná, fiškálne stimuly boli špeci</w:t>
            </w:r>
            <w:r w:rsidR="00380760" w:rsidRPr="00160CBD">
              <w:rPr>
                <w:rFonts w:ascii="Times New Roman" w:hAnsi="Times New Roman"/>
                <w:sz w:val="20"/>
                <w:szCs w:val="20"/>
              </w:rPr>
              <w:t xml:space="preserve">fikované na investičné stimuly, </w:t>
            </w:r>
            <w:r w:rsidR="00D07AEA">
              <w:rPr>
                <w:rFonts w:ascii="Times New Roman" w:hAnsi="Times New Roman"/>
                <w:sz w:val="20"/>
                <w:szCs w:val="20"/>
              </w:rPr>
              <w:t xml:space="preserve">bolo </w:t>
            </w:r>
            <w:r w:rsidR="00D07AEA" w:rsidRPr="00160CBD">
              <w:rPr>
                <w:rFonts w:ascii="Times New Roman" w:hAnsi="Times New Roman"/>
                <w:sz w:val="20"/>
                <w:szCs w:val="20"/>
              </w:rPr>
              <w:t>doplnen</w:t>
            </w:r>
            <w:r w:rsidR="00D07AEA">
              <w:rPr>
                <w:rFonts w:ascii="Times New Roman" w:hAnsi="Times New Roman"/>
                <w:sz w:val="20"/>
                <w:szCs w:val="20"/>
              </w:rPr>
              <w:t>é</w:t>
            </w:r>
            <w:r w:rsidR="00D07AEA" w:rsidRPr="00160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AEA">
              <w:rPr>
                <w:rFonts w:ascii="Times New Roman" w:hAnsi="Times New Roman"/>
                <w:sz w:val="20"/>
                <w:szCs w:val="20"/>
              </w:rPr>
              <w:t xml:space="preserve">zabezpečenie ich financovania v rozpočte </w:t>
            </w:r>
            <w:r w:rsidR="00D07AEA" w:rsidRPr="00C72DC8">
              <w:rPr>
                <w:rFonts w:ascii="Times New Roman" w:hAnsi="Times New Roman"/>
                <w:sz w:val="20"/>
                <w:szCs w:val="20"/>
              </w:rPr>
              <w:t>verejnej správy</w:t>
            </w:r>
            <w:r w:rsidR="00380760" w:rsidRPr="00160C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00BDE" w:rsidRPr="0033102C" w:rsidRDefault="00200BDE" w:rsidP="0033102C">
            <w:pPr>
              <w:pStyle w:val="Odsekzoznamu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C1956" w:rsidRPr="0033102C" w:rsidRDefault="007C1956" w:rsidP="007C1956">
            <w:pPr>
              <w:pStyle w:val="Odsekzoznamu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>Kapitola MPRV SR</w:t>
            </w:r>
          </w:p>
          <w:p w:rsidR="007C1956" w:rsidRPr="00160CBD" w:rsidRDefault="007C1956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 xml:space="preserve">V tabuľke sú kvantifikované výdavky z prostriedkov EÚ – Integrovaný regionálny operačný program v roku 2017 vo výške 60 828 tis. eur. Upozorňujme, že výdavky zo zdrojov EÚ na Integrovaný regionálny operačný program  sú na rok 2017 rozpočtované v sume 5 135 801 eur, </w:t>
            </w:r>
            <w:r w:rsidRPr="003310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teda sú nižšie ako vyčíslené výdavky zo zdrojov EÚ v doložke vybraných vplyvov. Uvedený rozdiel žiadame komentovať  v časti 2. 1. 1. Financovanie návrhu a súčasne špecifikovať, z akých zdrojov majú byť kryté zvýšené kvantifikované finančné prostriedky (napr. zdroje z predchádzajúcich rokov). V prípade, že tieto opatrenia nebudú rozpočtovo zabezpečené v navrhovanej výške žiadame ich upraviť vo väzbe na disponibilné zdroje, resp. vypustiť z prílohy č. 2. </w:t>
            </w:r>
          </w:p>
          <w:p w:rsidR="00200BDE" w:rsidRPr="0033102C" w:rsidRDefault="00200BDE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Vyhodnotenie</w:t>
            </w:r>
            <w:r w:rsidRPr="00160CBD">
              <w:rPr>
                <w:rFonts w:ascii="Times New Roman" w:hAnsi="Times New Roman"/>
                <w:sz w:val="20"/>
                <w:szCs w:val="20"/>
              </w:rPr>
              <w:t>:</w:t>
            </w:r>
            <w:r w:rsidR="00380760" w:rsidRPr="00160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517">
              <w:rPr>
                <w:rFonts w:ascii="Times New Roman" w:hAnsi="Times New Roman"/>
                <w:sz w:val="20"/>
                <w:szCs w:val="20"/>
              </w:rPr>
              <w:t xml:space="preserve">Vplyvy </w:t>
            </w:r>
            <w:r w:rsidR="00695517" w:rsidRPr="00C72DC8">
              <w:rPr>
                <w:rFonts w:ascii="Times New Roman" w:hAnsi="Times New Roman"/>
                <w:sz w:val="20"/>
                <w:szCs w:val="20"/>
              </w:rPr>
              <w:t xml:space="preserve">na rozpočet verejnej správy </w:t>
            </w:r>
            <w:r w:rsidR="00695517">
              <w:rPr>
                <w:rFonts w:ascii="Times New Roman" w:hAnsi="Times New Roman"/>
                <w:sz w:val="20"/>
                <w:szCs w:val="20"/>
              </w:rPr>
              <w:t>za kapitolu</w:t>
            </w:r>
            <w:r w:rsidR="00695517" w:rsidRPr="00160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760" w:rsidRPr="00160CBD">
              <w:rPr>
                <w:rFonts w:ascii="Times New Roman" w:hAnsi="Times New Roman"/>
                <w:sz w:val="20"/>
                <w:szCs w:val="20"/>
              </w:rPr>
              <w:t>MPRV SR</w:t>
            </w:r>
            <w:r w:rsidR="00695517">
              <w:rPr>
                <w:rFonts w:ascii="Times New Roman" w:hAnsi="Times New Roman"/>
                <w:sz w:val="20"/>
                <w:szCs w:val="20"/>
              </w:rPr>
              <w:t xml:space="preserve"> boli</w:t>
            </w:r>
            <w:r w:rsidR="00380760" w:rsidRPr="00160CBD">
              <w:rPr>
                <w:rFonts w:ascii="Times New Roman" w:hAnsi="Times New Roman"/>
                <w:sz w:val="20"/>
                <w:szCs w:val="20"/>
              </w:rPr>
              <w:t xml:space="preserve"> prepracované</w:t>
            </w:r>
            <w:r w:rsidR="00695517">
              <w:rPr>
                <w:rFonts w:ascii="Times New Roman" w:hAnsi="Times New Roman"/>
                <w:sz w:val="20"/>
                <w:szCs w:val="20"/>
              </w:rPr>
              <w:t xml:space="preserve"> (presun časti vplyvov z kapitoly MDV SR)</w:t>
            </w:r>
            <w:r w:rsidR="00380760" w:rsidRPr="00160C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47C5" w:rsidRPr="005D6DEF">
              <w:rPr>
                <w:rFonts w:ascii="Times New Roman" w:hAnsi="Times New Roman"/>
                <w:sz w:val="20"/>
                <w:szCs w:val="20"/>
              </w:rPr>
              <w:t>Výdavky IROP v rámci návrhu</w:t>
            </w:r>
            <w:r w:rsidR="001D47C5" w:rsidRPr="00160CBD">
              <w:rPr>
                <w:rFonts w:ascii="Times New Roman" w:hAnsi="Times New Roman"/>
                <w:sz w:val="20"/>
                <w:szCs w:val="20"/>
              </w:rPr>
              <w:t xml:space="preserve"> akčného plánu sú vyššie </w:t>
            </w:r>
            <w:r w:rsidR="00695517">
              <w:rPr>
                <w:rFonts w:ascii="Times New Roman" w:hAnsi="Times New Roman"/>
                <w:sz w:val="20"/>
                <w:szCs w:val="20"/>
              </w:rPr>
              <w:t xml:space="preserve">ako rozpočtované, pričom rozdiel bude </w:t>
            </w:r>
            <w:r w:rsidR="001D47C5" w:rsidRPr="00160CBD">
              <w:rPr>
                <w:rFonts w:ascii="Times New Roman" w:hAnsi="Times New Roman"/>
                <w:sz w:val="20"/>
                <w:szCs w:val="20"/>
              </w:rPr>
              <w:t>pokr</w:t>
            </w:r>
            <w:r w:rsidR="00695517">
              <w:rPr>
                <w:rFonts w:ascii="Times New Roman" w:hAnsi="Times New Roman"/>
                <w:sz w:val="20"/>
                <w:szCs w:val="20"/>
              </w:rPr>
              <w:t>ytý</w:t>
            </w:r>
            <w:r w:rsidR="001D47C5" w:rsidRPr="00160CBD">
              <w:rPr>
                <w:rFonts w:ascii="Times New Roman" w:hAnsi="Times New Roman"/>
                <w:sz w:val="20"/>
                <w:szCs w:val="20"/>
              </w:rPr>
              <w:t xml:space="preserve"> zo zdrojov predchádzajúcich rokov</w:t>
            </w:r>
            <w:r w:rsidR="00695517">
              <w:rPr>
                <w:rFonts w:ascii="Times New Roman" w:hAnsi="Times New Roman"/>
                <w:sz w:val="20"/>
                <w:szCs w:val="20"/>
              </w:rPr>
              <w:t>, kedy sa prostriedky nečerpali</w:t>
            </w:r>
            <w:r w:rsidR="001D47C5" w:rsidRPr="00160C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1956" w:rsidRPr="0033102C" w:rsidRDefault="007C1956" w:rsidP="007C1956">
            <w:pPr>
              <w:pStyle w:val="Odsekzoznamu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>Kapitola MŠVVŠ SR</w:t>
            </w:r>
          </w:p>
          <w:p w:rsidR="007C1956" w:rsidRPr="00160CBD" w:rsidRDefault="007C1956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 xml:space="preserve">V tabuľke sú rozpočtované výdavky zo štrukturálnych fondov EÚ na rok 2017 na program 0EA OP Výskum a inovácie vo výške 113 137 tis. eur, pričom v návrhu rozpočtu verejnej správy na roky 2017 – 2019 je na tento program rozpočtovaná len čiastka 106 441,73 tis. eur, čo je menej o 6 696 tis. eur. Uvedený rozdiel žiadame komentovať  v časti 2. 1. 1. Financovanie návrhu a zároveň špecifikovať, z akých zdrojov majú byť kryté zvýšené kvantifikované finančné prostriedky (napr. zdroje z predchádzajúcich rokov). V prípade, že tieto opatrenia nebudú rozpočtovo zabezpečené v navrhovanej výške, žiadame ich upraviť vo väzbe na disponibilné zdroje, resp. vypustiť z prílohy č. 2. </w:t>
            </w:r>
          </w:p>
          <w:p w:rsidR="00380760" w:rsidRPr="0033102C" w:rsidRDefault="00380760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Vyhodnotenie</w:t>
            </w:r>
            <w:r w:rsidRPr="00160CBD">
              <w:rPr>
                <w:rFonts w:ascii="Times New Roman" w:hAnsi="Times New Roman"/>
                <w:sz w:val="20"/>
                <w:szCs w:val="20"/>
              </w:rPr>
              <w:t xml:space="preserve">: Výdavky </w:t>
            </w:r>
            <w:r w:rsidR="001D47C5" w:rsidRPr="00160CBD">
              <w:rPr>
                <w:rFonts w:ascii="Times New Roman" w:hAnsi="Times New Roman"/>
                <w:sz w:val="20"/>
                <w:szCs w:val="20"/>
              </w:rPr>
              <w:t xml:space="preserve">MŠVVŠ </w:t>
            </w:r>
            <w:r w:rsidRPr="00160CBD">
              <w:rPr>
                <w:rFonts w:ascii="Times New Roman" w:hAnsi="Times New Roman"/>
                <w:sz w:val="20"/>
                <w:szCs w:val="20"/>
              </w:rPr>
              <w:t xml:space="preserve">SR prepracované. </w:t>
            </w:r>
            <w:r w:rsidR="005D6DEF">
              <w:rPr>
                <w:rFonts w:ascii="Times New Roman" w:hAnsi="Times New Roman"/>
                <w:sz w:val="20"/>
                <w:szCs w:val="20"/>
              </w:rPr>
              <w:t>Všetky v</w:t>
            </w:r>
            <w:r w:rsidR="00F61719" w:rsidRPr="00160CBD">
              <w:rPr>
                <w:rFonts w:ascii="Times New Roman" w:hAnsi="Times New Roman"/>
                <w:sz w:val="20"/>
                <w:szCs w:val="20"/>
              </w:rPr>
              <w:t xml:space="preserve">ýdavky na opatrenie 5.1.3 Inovácie a technologické transfery v priemyselných podnikoch sú zabezpečené v rámci kapitoly MH SR. </w:t>
            </w:r>
          </w:p>
          <w:p w:rsidR="007C1956" w:rsidRPr="0033102C" w:rsidRDefault="007C1956" w:rsidP="007C1956">
            <w:pPr>
              <w:pStyle w:val="Odsekzoznamu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>Všetky ÚOŠS</w:t>
            </w:r>
          </w:p>
          <w:p w:rsidR="007C1956" w:rsidRPr="0033102C" w:rsidRDefault="007C1956" w:rsidP="0033102C">
            <w:pPr>
              <w:pStyle w:val="Odsekzoznamu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33102C">
              <w:rPr>
                <w:rFonts w:ascii="Times New Roman" w:hAnsi="Times New Roman"/>
                <w:sz w:val="20"/>
                <w:szCs w:val="20"/>
              </w:rPr>
              <w:t xml:space="preserve">V tabuľke sú kvantifikované vplyvy v sume 12 396 tis. eur  (rok 2017 a 2018) a 9 507 tis. eur (2019). S uvedenou kvantifikáciou súhlasíme za podmienky, že príslušné ústredné orgány štátnej správy nebudú na rok 2017 ani v rámci prípravy rozpočtu verejnej správy na roky 2018 – 2020 požadovať navýšenie výdavkov na uvedený účel nad rámec stanovených limitov výdavkov. </w:t>
            </w:r>
          </w:p>
          <w:p w:rsidR="007C1956" w:rsidRPr="00DC62B4" w:rsidRDefault="007C1956" w:rsidP="0033102C">
            <w:pPr>
              <w:widowControl w:val="0"/>
            </w:pPr>
            <w:r w:rsidRPr="00A247A0">
              <w:t xml:space="preserve">Vyššie uvedené pripomienky MF SR </w:t>
            </w:r>
            <w:r w:rsidRPr="00DC62B4">
              <w:t xml:space="preserve">sú zásadné. </w:t>
            </w:r>
          </w:p>
          <w:p w:rsidR="00A74806" w:rsidRDefault="007C1956" w:rsidP="007573A1">
            <w:pPr>
              <w:widowControl w:val="0"/>
            </w:pPr>
            <w:r w:rsidRPr="00160CBD">
              <w:t>Z technického hľadiska upozorňujeme, že nie je vyplnená príloha č. 4 analýzy vplyvov na rozpočet verejnej správy. Ku kapitole Environmentálny fond – žiadame vypustiť slovo „kapitola“, pretože tento fond nie je kapitolou.</w:t>
            </w:r>
          </w:p>
          <w:p w:rsidR="000148C4" w:rsidRPr="007C1956" w:rsidRDefault="000148C4" w:rsidP="000148C4">
            <w:pPr>
              <w:widowControl w:val="0"/>
              <w:rPr>
                <w:b/>
              </w:rPr>
            </w:pPr>
            <w:r w:rsidRPr="000148C4">
              <w:rPr>
                <w:b/>
                <w:u w:val="single"/>
              </w:rPr>
              <w:t>Vyhodnotenie:</w:t>
            </w:r>
            <w:r>
              <w:t xml:space="preserve"> </w:t>
            </w:r>
            <w:r w:rsidRPr="000148C4">
              <w:t>Vzhľadom na veľkých počet relevantných rezortov a organizácii a jednotlivých programov nie je v súčasnosti možné presné rozdelenie potenciálne alokovaných prostriedkov podľa štruktúry výdavkov.</w:t>
            </w:r>
            <w:r>
              <w:t xml:space="preserve"> Zmeny ohľadom Environmentálneho fondu boli zapracované. </w:t>
            </w:r>
          </w:p>
        </w:tc>
      </w:tr>
      <w:tr w:rsidR="007C1956" w:rsidRPr="00A179AE" w:rsidTr="007573A1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56" w:rsidRPr="00DA6FED" w:rsidRDefault="007C1956" w:rsidP="007573A1">
            <w:pPr>
              <w:widowControl w:val="0"/>
              <w:rPr>
                <w:i/>
              </w:rPr>
            </w:pPr>
          </w:p>
        </w:tc>
      </w:tr>
    </w:tbl>
    <w:p w:rsidR="00A74806" w:rsidRDefault="00A74806" w:rsidP="00A74806">
      <w:pPr>
        <w:rPr>
          <w:b/>
        </w:rPr>
      </w:pPr>
    </w:p>
    <w:p w:rsidR="00A74806" w:rsidRDefault="00A74806" w:rsidP="00A7480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A74806" w:rsidRDefault="00A74806" w:rsidP="00A7480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A306B4" w:rsidRPr="007D5748" w:rsidRDefault="00AA092E" w:rsidP="00A306B4">
      <w:pPr>
        <w:jc w:val="center"/>
        <w:rPr>
          <w:b/>
          <w:bCs/>
          <w:sz w:val="28"/>
          <w:szCs w:val="28"/>
        </w:rPr>
      </w:pPr>
      <w:r>
        <w:br w:type="page"/>
      </w:r>
      <w:r w:rsidR="00A306B4"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:rsidR="00A306B4" w:rsidRPr="007D5748" w:rsidRDefault="00A306B4" w:rsidP="00A306B4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A306B4" w:rsidRPr="00212894" w:rsidRDefault="00A306B4" w:rsidP="00A306B4">
      <w:pPr>
        <w:jc w:val="right"/>
        <w:rPr>
          <w:b/>
          <w:bCs/>
          <w:sz w:val="24"/>
          <w:szCs w:val="24"/>
        </w:rPr>
      </w:pPr>
    </w:p>
    <w:p w:rsidR="00A306B4" w:rsidRDefault="00A306B4" w:rsidP="00A306B4">
      <w:pPr>
        <w:rPr>
          <w:b/>
          <w:bCs/>
          <w:sz w:val="24"/>
          <w:szCs w:val="24"/>
        </w:rPr>
      </w:pPr>
    </w:p>
    <w:p w:rsidR="00A306B4" w:rsidRPr="00212894" w:rsidRDefault="00A306B4" w:rsidP="00A306B4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A306B4" w:rsidRDefault="00A306B4" w:rsidP="00A306B4">
      <w:pPr>
        <w:jc w:val="right"/>
      </w:pPr>
    </w:p>
    <w:p w:rsidR="00A306B4" w:rsidRPr="007D5748" w:rsidRDefault="00A306B4" w:rsidP="00A306B4">
      <w:pPr>
        <w:jc w:val="right"/>
      </w:pPr>
      <w:r w:rsidRPr="007D5748">
        <w:t xml:space="preserve">Tabuľka č. 1 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67"/>
        <w:gridCol w:w="1267"/>
        <w:gridCol w:w="1267"/>
      </w:tblGrid>
      <w:tr w:rsidR="00A306B4" w:rsidRPr="007D5748" w:rsidTr="007573A1">
        <w:trPr>
          <w:cantSplit/>
          <w:trHeight w:val="194"/>
          <w:jc w:val="center"/>
        </w:trPr>
        <w:tc>
          <w:tcPr>
            <w:tcW w:w="5240" w:type="dxa"/>
            <w:vMerge w:val="restart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rozpočet verejnej správy (v </w:t>
            </w:r>
            <w:r>
              <w:rPr>
                <w:b/>
                <w:bCs/>
                <w:sz w:val="24"/>
                <w:szCs w:val="24"/>
              </w:rPr>
              <w:t>tis. Eur</w:t>
            </w:r>
            <w:r w:rsidRPr="007D574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306B4" w:rsidRPr="007D5748" w:rsidTr="007573A1">
        <w:trPr>
          <w:cantSplit/>
          <w:trHeight w:val="70"/>
          <w:jc w:val="center"/>
        </w:trPr>
        <w:tc>
          <w:tcPr>
            <w:tcW w:w="5240" w:type="dxa"/>
            <w:vMerge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DC62B4" w:rsidRPr="007D5748" w:rsidTr="007573A1">
        <w:trPr>
          <w:trHeight w:val="70"/>
          <w:jc w:val="center"/>
        </w:trPr>
        <w:tc>
          <w:tcPr>
            <w:tcW w:w="5240" w:type="dxa"/>
            <w:shd w:val="clear" w:color="auto" w:fill="C0C0C0"/>
            <w:noWrap/>
            <w:vAlign w:val="center"/>
          </w:tcPr>
          <w:p w:rsidR="00DC62B4" w:rsidRPr="007D5748" w:rsidRDefault="00DC62B4" w:rsidP="00DC62B4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</w:tcPr>
          <w:p w:rsidR="00DC62B4" w:rsidRPr="00527095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584 049</w:t>
            </w:r>
          </w:p>
        </w:tc>
        <w:tc>
          <w:tcPr>
            <w:tcW w:w="1267" w:type="dxa"/>
            <w:shd w:val="clear" w:color="auto" w:fill="C0C0C0"/>
          </w:tcPr>
          <w:p w:rsidR="00DC62B4" w:rsidRPr="00527095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695 709</w:t>
            </w:r>
          </w:p>
        </w:tc>
        <w:tc>
          <w:tcPr>
            <w:tcW w:w="1267" w:type="dxa"/>
            <w:shd w:val="clear" w:color="auto" w:fill="C0C0C0"/>
          </w:tcPr>
          <w:p w:rsidR="00DC62B4" w:rsidRPr="00527095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955 200</w:t>
            </w:r>
          </w:p>
        </w:tc>
      </w:tr>
      <w:tr w:rsidR="00A306B4" w:rsidRPr="007D5748" w:rsidTr="007573A1">
        <w:trPr>
          <w:trHeight w:val="132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67" w:type="dxa"/>
            <w:noWrap/>
          </w:tcPr>
          <w:p w:rsidR="00A306B4" w:rsidRPr="007B21CA" w:rsidRDefault="00A306B4" w:rsidP="007573A1"/>
        </w:tc>
        <w:tc>
          <w:tcPr>
            <w:tcW w:w="1267" w:type="dxa"/>
            <w:noWrap/>
          </w:tcPr>
          <w:p w:rsidR="00A306B4" w:rsidRPr="007B21CA" w:rsidRDefault="00A306B4" w:rsidP="007573A1"/>
        </w:tc>
        <w:tc>
          <w:tcPr>
            <w:tcW w:w="1267" w:type="dxa"/>
            <w:noWrap/>
          </w:tcPr>
          <w:p w:rsidR="00A306B4" w:rsidRDefault="00A306B4" w:rsidP="007573A1"/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2B4" w:rsidRPr="007D5748" w:rsidTr="007573A1">
        <w:trPr>
          <w:trHeight w:val="125"/>
          <w:jc w:val="center"/>
        </w:trPr>
        <w:tc>
          <w:tcPr>
            <w:tcW w:w="5240" w:type="dxa"/>
            <w:noWrap/>
            <w:vAlign w:val="center"/>
          </w:tcPr>
          <w:p w:rsidR="00DC62B4" w:rsidRPr="007D5748" w:rsidRDefault="00DC62B4" w:rsidP="00DC62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</w:tcPr>
          <w:p w:rsidR="00DC62B4" w:rsidRPr="00815F8F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584 049</w:t>
            </w:r>
          </w:p>
        </w:tc>
        <w:tc>
          <w:tcPr>
            <w:tcW w:w="1267" w:type="dxa"/>
            <w:noWrap/>
          </w:tcPr>
          <w:p w:rsidR="00DC62B4" w:rsidRPr="00815F8F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695 709</w:t>
            </w:r>
          </w:p>
        </w:tc>
        <w:tc>
          <w:tcPr>
            <w:tcW w:w="1267" w:type="dxa"/>
            <w:noWrap/>
          </w:tcPr>
          <w:p w:rsidR="00DC62B4" w:rsidRPr="00815F8F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955 200</w:t>
            </w:r>
          </w:p>
        </w:tc>
      </w:tr>
      <w:tr w:rsidR="00DC62B4" w:rsidRPr="007D5748" w:rsidTr="007573A1">
        <w:trPr>
          <w:trHeight w:val="125"/>
          <w:jc w:val="center"/>
        </w:trPr>
        <w:tc>
          <w:tcPr>
            <w:tcW w:w="5240" w:type="dxa"/>
            <w:noWrap/>
            <w:vAlign w:val="center"/>
          </w:tcPr>
          <w:p w:rsidR="00DC62B4" w:rsidRPr="007D5748" w:rsidRDefault="00DC62B4" w:rsidP="00DC62B4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</w:tcPr>
          <w:p w:rsidR="00DC62B4" w:rsidRPr="00166694" w:rsidRDefault="00DC62B4" w:rsidP="00DC62B4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128 000</w:t>
            </w:r>
          </w:p>
        </w:tc>
        <w:tc>
          <w:tcPr>
            <w:tcW w:w="1267" w:type="dxa"/>
            <w:noWrap/>
          </w:tcPr>
          <w:p w:rsidR="00DC62B4" w:rsidRPr="00166694" w:rsidRDefault="00DC62B4" w:rsidP="00DC62B4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148 755</w:t>
            </w:r>
          </w:p>
        </w:tc>
        <w:tc>
          <w:tcPr>
            <w:tcW w:w="1267" w:type="dxa"/>
            <w:noWrap/>
          </w:tcPr>
          <w:p w:rsidR="00DC62B4" w:rsidRPr="00166694" w:rsidRDefault="00DC62B4" w:rsidP="00DC62B4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193 546</w:t>
            </w:r>
          </w:p>
        </w:tc>
      </w:tr>
      <w:tr w:rsidR="00DC62B4" w:rsidRPr="007D5748" w:rsidTr="007573A1">
        <w:trPr>
          <w:trHeight w:val="125"/>
          <w:jc w:val="center"/>
        </w:trPr>
        <w:tc>
          <w:tcPr>
            <w:tcW w:w="5240" w:type="dxa"/>
            <w:noWrap/>
            <w:vAlign w:val="center"/>
          </w:tcPr>
          <w:p w:rsidR="00DC62B4" w:rsidRPr="007D5748" w:rsidRDefault="00DC62B4" w:rsidP="00DC62B4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</w:tcPr>
          <w:p w:rsidR="00DC62B4" w:rsidRPr="00166694" w:rsidRDefault="00DC62B4" w:rsidP="00DC62B4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456 049</w:t>
            </w:r>
          </w:p>
        </w:tc>
        <w:tc>
          <w:tcPr>
            <w:tcW w:w="1267" w:type="dxa"/>
            <w:noWrap/>
          </w:tcPr>
          <w:p w:rsidR="00DC62B4" w:rsidRPr="00166694" w:rsidRDefault="00DC62B4" w:rsidP="00DC62B4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546 955</w:t>
            </w:r>
          </w:p>
        </w:tc>
        <w:tc>
          <w:tcPr>
            <w:tcW w:w="1267" w:type="dxa"/>
            <w:noWrap/>
          </w:tcPr>
          <w:p w:rsidR="00DC62B4" w:rsidRPr="00166694" w:rsidRDefault="00DC62B4" w:rsidP="00DC62B4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761 654</w:t>
            </w:r>
          </w:p>
        </w:tc>
      </w:tr>
      <w:tr w:rsidR="00A306B4" w:rsidRPr="007D5748" w:rsidTr="007573A1">
        <w:trPr>
          <w:trHeight w:val="125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- vplyv na </w:t>
            </w:r>
            <w:r w:rsidRPr="008714D3">
              <w:rPr>
                <w:b/>
                <w:bCs/>
                <w:i/>
                <w:iCs/>
                <w:sz w:val="24"/>
                <w:szCs w:val="24"/>
              </w:rPr>
              <w:t>územnú samosprávu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C62B4" w:rsidRPr="007D5748" w:rsidTr="007573A1">
        <w:trPr>
          <w:trHeight w:val="125"/>
          <w:jc w:val="center"/>
        </w:trPr>
        <w:tc>
          <w:tcPr>
            <w:tcW w:w="5240" w:type="dxa"/>
            <w:shd w:val="clear" w:color="auto" w:fill="C0C0C0"/>
            <w:noWrap/>
            <w:vAlign w:val="center"/>
          </w:tcPr>
          <w:p w:rsidR="00DC62B4" w:rsidRPr="007D5748" w:rsidRDefault="00DC62B4" w:rsidP="00DC62B4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:rsidR="00DC62B4" w:rsidRPr="00527095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647 917</w:t>
            </w:r>
          </w:p>
        </w:tc>
        <w:tc>
          <w:tcPr>
            <w:tcW w:w="1267" w:type="dxa"/>
            <w:shd w:val="clear" w:color="auto" w:fill="C0C0C0"/>
            <w:noWrap/>
          </w:tcPr>
          <w:p w:rsidR="00DC62B4" w:rsidRPr="00527095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709 514</w:t>
            </w:r>
          </w:p>
        </w:tc>
        <w:tc>
          <w:tcPr>
            <w:tcW w:w="1267" w:type="dxa"/>
            <w:shd w:val="clear" w:color="auto" w:fill="C0C0C0"/>
            <w:noWrap/>
          </w:tcPr>
          <w:p w:rsidR="00DC62B4" w:rsidRPr="00527095" w:rsidRDefault="00DC62B4" w:rsidP="00DC62B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933 471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  <w:r>
              <w:rPr>
                <w:sz w:val="24"/>
                <w:szCs w:val="24"/>
              </w:rPr>
              <w:t xml:space="preserve"> </w:t>
            </w:r>
            <w:r w:rsidRPr="00EF78C6">
              <w:rPr>
                <w:i/>
                <w:sz w:val="24"/>
                <w:szCs w:val="24"/>
              </w:rPr>
              <w:t>(pozri nižšie)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55845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B55845" w:rsidRPr="007D5748" w:rsidRDefault="00B55845" w:rsidP="00B558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</w:tcPr>
          <w:p w:rsidR="00B55845" w:rsidRPr="00815F8F" w:rsidRDefault="00B55845" w:rsidP="00B5584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630 499</w:t>
            </w:r>
          </w:p>
        </w:tc>
        <w:tc>
          <w:tcPr>
            <w:tcW w:w="1267" w:type="dxa"/>
            <w:noWrap/>
          </w:tcPr>
          <w:p w:rsidR="00B55845" w:rsidRPr="00815F8F" w:rsidRDefault="00B55845" w:rsidP="00B5584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688 883</w:t>
            </w:r>
          </w:p>
        </w:tc>
        <w:tc>
          <w:tcPr>
            <w:tcW w:w="1267" w:type="dxa"/>
            <w:noWrap/>
          </w:tcPr>
          <w:p w:rsidR="00B55845" w:rsidRPr="00815F8F" w:rsidRDefault="00B55845" w:rsidP="00B5584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902 736</w:t>
            </w:r>
          </w:p>
        </w:tc>
      </w:tr>
      <w:tr w:rsidR="00B55845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B55845" w:rsidRPr="007D5748" w:rsidRDefault="00B55845" w:rsidP="00B55845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112 750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71 766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68 677</w:t>
            </w:r>
          </w:p>
        </w:tc>
      </w:tr>
      <w:tr w:rsidR="00B55845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B55845" w:rsidRPr="007D5748" w:rsidRDefault="00B55845" w:rsidP="00B55845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456 049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546 955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761 654</w:t>
            </w:r>
          </w:p>
        </w:tc>
      </w:tr>
      <w:tr w:rsidR="00B55845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B55845" w:rsidRPr="007D5748" w:rsidRDefault="00B55845" w:rsidP="00B55845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61 699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70 163</w:t>
            </w:r>
          </w:p>
        </w:tc>
        <w:tc>
          <w:tcPr>
            <w:tcW w:w="1267" w:type="dxa"/>
            <w:noWrap/>
          </w:tcPr>
          <w:p w:rsidR="00B55845" w:rsidRPr="00166694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72 405</w:t>
            </w:r>
          </w:p>
        </w:tc>
      </w:tr>
      <w:tr w:rsidR="00B55845" w:rsidRPr="007D5748" w:rsidTr="0033102C">
        <w:trPr>
          <w:trHeight w:val="125"/>
          <w:jc w:val="center"/>
        </w:trPr>
        <w:tc>
          <w:tcPr>
            <w:tcW w:w="5240" w:type="dxa"/>
            <w:noWrap/>
            <w:vAlign w:val="center"/>
          </w:tcPr>
          <w:p w:rsidR="00B55845" w:rsidRPr="007D5748" w:rsidRDefault="00B55845" w:rsidP="00B558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- vplyv na </w:t>
            </w:r>
            <w:r w:rsidRPr="008714D3">
              <w:rPr>
                <w:b/>
                <w:bCs/>
                <w:i/>
                <w:iCs/>
                <w:sz w:val="24"/>
                <w:szCs w:val="24"/>
              </w:rPr>
              <w:t>územnú samosprávu</w:t>
            </w:r>
          </w:p>
        </w:tc>
        <w:tc>
          <w:tcPr>
            <w:tcW w:w="1267" w:type="dxa"/>
            <w:noWrap/>
          </w:tcPr>
          <w:p w:rsidR="00B55845" w:rsidRPr="00815F8F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17 419</w:t>
            </w:r>
          </w:p>
        </w:tc>
        <w:tc>
          <w:tcPr>
            <w:tcW w:w="1267" w:type="dxa"/>
            <w:noWrap/>
          </w:tcPr>
          <w:p w:rsidR="00B55845" w:rsidRPr="00815F8F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20 632</w:t>
            </w:r>
          </w:p>
        </w:tc>
        <w:tc>
          <w:tcPr>
            <w:tcW w:w="1267" w:type="dxa"/>
            <w:noWrap/>
          </w:tcPr>
          <w:p w:rsidR="00B55845" w:rsidRPr="00815F8F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30 735</w:t>
            </w:r>
          </w:p>
        </w:tc>
      </w:tr>
      <w:tr w:rsidR="00B55845" w:rsidRPr="004A2A27" w:rsidTr="007573A1">
        <w:trPr>
          <w:trHeight w:val="125"/>
          <w:jc w:val="center"/>
        </w:trPr>
        <w:tc>
          <w:tcPr>
            <w:tcW w:w="5240" w:type="dxa"/>
            <w:noWrap/>
          </w:tcPr>
          <w:p w:rsidR="00B55845" w:rsidRPr="004A2A27" w:rsidRDefault="00B55845" w:rsidP="00B55845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Pr="004A2A27">
              <w:rPr>
                <w:bCs/>
                <w:i/>
                <w:iCs/>
                <w:sz w:val="24"/>
                <w:szCs w:val="24"/>
              </w:rPr>
              <w:t>z toho priame výdavky samospráv (spolu)</w:t>
            </w:r>
          </w:p>
        </w:tc>
        <w:tc>
          <w:tcPr>
            <w:tcW w:w="1267" w:type="dxa"/>
            <w:noWrap/>
          </w:tcPr>
          <w:p w:rsidR="00B55845" w:rsidRPr="0033102C" w:rsidRDefault="00B55845" w:rsidP="00B55845">
            <w:pPr>
              <w:ind w:left="259"/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B55845" w:rsidRPr="0033102C" w:rsidRDefault="00B55845" w:rsidP="00B55845">
            <w:pPr>
              <w:ind w:left="259"/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B55845" w:rsidRPr="0033102C" w:rsidRDefault="00B55845" w:rsidP="00B55845">
            <w:pPr>
              <w:ind w:left="259"/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B55845" w:rsidRPr="004A2A27" w:rsidTr="007573A1">
        <w:trPr>
          <w:trHeight w:val="70"/>
          <w:jc w:val="center"/>
        </w:trPr>
        <w:tc>
          <w:tcPr>
            <w:tcW w:w="5240" w:type="dxa"/>
            <w:noWrap/>
          </w:tcPr>
          <w:p w:rsidR="00B55845" w:rsidRPr="004A2A27" w:rsidRDefault="00B55845" w:rsidP="00B55845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Pr="004A2A27">
              <w:rPr>
                <w:bCs/>
                <w:i/>
                <w:iCs/>
                <w:sz w:val="24"/>
                <w:szCs w:val="24"/>
              </w:rPr>
              <w:t>z toho spolufinancovanie pre projekty EÚ</w:t>
            </w:r>
          </w:p>
        </w:tc>
        <w:tc>
          <w:tcPr>
            <w:tcW w:w="1267" w:type="dxa"/>
            <w:noWrap/>
          </w:tcPr>
          <w:p w:rsidR="00B55845" w:rsidRPr="0033102C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17 419</w:t>
            </w:r>
          </w:p>
        </w:tc>
        <w:tc>
          <w:tcPr>
            <w:tcW w:w="1267" w:type="dxa"/>
            <w:noWrap/>
          </w:tcPr>
          <w:p w:rsidR="00B55845" w:rsidRPr="0033102C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20 632</w:t>
            </w:r>
          </w:p>
        </w:tc>
        <w:tc>
          <w:tcPr>
            <w:tcW w:w="1267" w:type="dxa"/>
            <w:noWrap/>
          </w:tcPr>
          <w:p w:rsidR="00B55845" w:rsidRPr="0033102C" w:rsidRDefault="00B55845" w:rsidP="00B55845">
            <w:pPr>
              <w:jc w:val="right"/>
              <w:rPr>
                <w:bCs/>
                <w:iCs/>
                <w:sz w:val="24"/>
                <w:szCs w:val="24"/>
              </w:rPr>
            </w:pPr>
            <w:r w:rsidRPr="0033102C">
              <w:rPr>
                <w:bCs/>
                <w:iCs/>
                <w:sz w:val="24"/>
                <w:szCs w:val="24"/>
              </w:rPr>
              <w:t>30 735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Vplyv na počet zamestnancov*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55845" w:rsidRPr="007D5748" w:rsidTr="007573A1">
        <w:trPr>
          <w:trHeight w:val="70"/>
          <w:jc w:val="center"/>
        </w:trPr>
        <w:tc>
          <w:tcPr>
            <w:tcW w:w="5240" w:type="dxa"/>
            <w:shd w:val="clear" w:color="auto" w:fill="C0C0C0"/>
            <w:noWrap/>
            <w:vAlign w:val="center"/>
          </w:tcPr>
          <w:p w:rsidR="00B55845" w:rsidRPr="007D5748" w:rsidRDefault="00B55845" w:rsidP="00B5584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</w:tcPr>
          <w:p w:rsidR="00B55845" w:rsidRPr="00E65BC5" w:rsidRDefault="00B55845" w:rsidP="00B5584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647 917</w:t>
            </w:r>
          </w:p>
        </w:tc>
        <w:tc>
          <w:tcPr>
            <w:tcW w:w="1267" w:type="dxa"/>
            <w:shd w:val="clear" w:color="auto" w:fill="C0C0C0"/>
            <w:noWrap/>
          </w:tcPr>
          <w:p w:rsidR="00B55845" w:rsidRPr="00E65BC5" w:rsidRDefault="00B55845" w:rsidP="00B5584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709 514</w:t>
            </w:r>
          </w:p>
        </w:tc>
        <w:tc>
          <w:tcPr>
            <w:tcW w:w="1267" w:type="dxa"/>
            <w:shd w:val="clear" w:color="auto" w:fill="C0C0C0"/>
            <w:noWrap/>
          </w:tcPr>
          <w:p w:rsidR="00B55845" w:rsidRPr="00E65BC5" w:rsidRDefault="00B55845" w:rsidP="00B5584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3102C">
              <w:rPr>
                <w:b/>
                <w:bCs/>
                <w:iCs/>
                <w:sz w:val="24"/>
                <w:szCs w:val="24"/>
              </w:rPr>
              <w:t>933 471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shd w:val="clear" w:color="auto" w:fill="A6A6A6" w:themeFill="background1" w:themeFillShade="A6"/>
            <w:noWrap/>
            <w:vAlign w:val="center"/>
          </w:tcPr>
          <w:p w:rsidR="00A306B4" w:rsidRPr="007D5748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bookmarkEnd w:id="1"/>
    <w:p w:rsidR="00A306B4" w:rsidRDefault="00A306B4" w:rsidP="00A306B4">
      <w:pPr>
        <w:rPr>
          <w:bCs/>
          <w:sz w:val="24"/>
          <w:szCs w:val="24"/>
        </w:rPr>
      </w:pPr>
      <w:r w:rsidRPr="00F23940">
        <w:rPr>
          <w:bCs/>
          <w:sz w:val="24"/>
          <w:szCs w:val="24"/>
        </w:rPr>
        <w:t xml:space="preserve">Pozn.: * - </w:t>
      </w:r>
      <w:r>
        <w:rPr>
          <w:bCs/>
          <w:sz w:val="24"/>
          <w:szCs w:val="24"/>
        </w:rPr>
        <w:t xml:space="preserve">nakoľko v súčasnosti nie je možné rozdeliť na obce, VÚC a ostatné subjekty verejnej správy, vplyvy sú uvedené celkovo ako vplyvy na územnú samosprávu. </w:t>
      </w:r>
    </w:p>
    <w:p w:rsidR="00A306B4" w:rsidRPr="00F23940" w:rsidRDefault="00A306B4" w:rsidP="00A306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**-v súčasnosti nie je možné samostatne vyčísliť</w:t>
      </w:r>
    </w:p>
    <w:p w:rsidR="00A306B4" w:rsidRDefault="00A306B4" w:rsidP="00A306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67"/>
        <w:gridCol w:w="1267"/>
        <w:gridCol w:w="1267"/>
      </w:tblGrid>
      <w:tr w:rsidR="00A306B4" w:rsidRPr="007D5748" w:rsidTr="007573A1">
        <w:trPr>
          <w:cantSplit/>
          <w:trHeight w:val="194"/>
          <w:jc w:val="center"/>
        </w:trPr>
        <w:tc>
          <w:tcPr>
            <w:tcW w:w="5240" w:type="dxa"/>
            <w:vMerge w:val="restart"/>
            <w:shd w:val="clear" w:color="auto" w:fill="BFBFBF" w:themeFill="background1" w:themeFillShade="BF"/>
            <w:vAlign w:val="center"/>
          </w:tcPr>
          <w:p w:rsidR="00A306B4" w:rsidRPr="009F7F1F" w:rsidRDefault="00A306B4" w:rsidP="007573A1">
            <w:pPr>
              <w:jc w:val="center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lastRenderedPageBreak/>
              <w:t>Vplyvy na rozpočet verejnej správy</w:t>
            </w: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rozpočet verejnej správy (v </w:t>
            </w:r>
            <w:r>
              <w:rPr>
                <w:b/>
                <w:bCs/>
                <w:sz w:val="24"/>
                <w:szCs w:val="24"/>
              </w:rPr>
              <w:t>tis. Eur</w:t>
            </w:r>
            <w:r w:rsidRPr="007D574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306B4" w:rsidRPr="007D5748" w:rsidTr="007573A1">
        <w:trPr>
          <w:cantSplit/>
          <w:trHeight w:val="70"/>
          <w:jc w:val="center"/>
        </w:trPr>
        <w:tc>
          <w:tcPr>
            <w:tcW w:w="5240" w:type="dxa"/>
            <w:vMerge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41B8E" w:rsidRPr="007D5748" w:rsidTr="007573A1">
        <w:trPr>
          <w:trHeight w:val="125"/>
          <w:jc w:val="center"/>
        </w:trPr>
        <w:tc>
          <w:tcPr>
            <w:tcW w:w="5240" w:type="dxa"/>
            <w:shd w:val="clear" w:color="auto" w:fill="C0C0C0"/>
            <w:noWrap/>
            <w:vAlign w:val="center"/>
          </w:tcPr>
          <w:p w:rsidR="00441B8E" w:rsidRPr="007D5748" w:rsidRDefault="00441B8E" w:rsidP="00441B8E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:rsidR="00441B8E" w:rsidRPr="00166694" w:rsidRDefault="00441B8E" w:rsidP="00441B8E">
            <w:pPr>
              <w:jc w:val="right"/>
              <w:rPr>
                <w:b/>
                <w:sz w:val="24"/>
                <w:szCs w:val="24"/>
              </w:rPr>
            </w:pPr>
            <w:r w:rsidRPr="0033102C">
              <w:rPr>
                <w:b/>
                <w:sz w:val="24"/>
                <w:szCs w:val="24"/>
              </w:rPr>
              <w:t>647 917</w:t>
            </w:r>
          </w:p>
        </w:tc>
        <w:tc>
          <w:tcPr>
            <w:tcW w:w="1267" w:type="dxa"/>
            <w:shd w:val="clear" w:color="auto" w:fill="C0C0C0"/>
            <w:noWrap/>
          </w:tcPr>
          <w:p w:rsidR="00441B8E" w:rsidRPr="00166694" w:rsidRDefault="00441B8E" w:rsidP="00441B8E">
            <w:pPr>
              <w:jc w:val="right"/>
              <w:rPr>
                <w:b/>
                <w:sz w:val="24"/>
                <w:szCs w:val="24"/>
              </w:rPr>
            </w:pPr>
            <w:r w:rsidRPr="0033102C">
              <w:rPr>
                <w:b/>
                <w:sz w:val="24"/>
                <w:szCs w:val="24"/>
              </w:rPr>
              <w:t>709 514</w:t>
            </w:r>
          </w:p>
        </w:tc>
        <w:tc>
          <w:tcPr>
            <w:tcW w:w="1267" w:type="dxa"/>
            <w:shd w:val="clear" w:color="auto" w:fill="C0C0C0"/>
            <w:noWrap/>
          </w:tcPr>
          <w:p w:rsidR="00441B8E" w:rsidRPr="00166694" w:rsidRDefault="00441B8E" w:rsidP="00441B8E">
            <w:pPr>
              <w:jc w:val="right"/>
              <w:rPr>
                <w:b/>
                <w:sz w:val="24"/>
                <w:szCs w:val="24"/>
              </w:rPr>
            </w:pPr>
            <w:r w:rsidRPr="0033102C">
              <w:rPr>
                <w:b/>
                <w:sz w:val="24"/>
                <w:szCs w:val="24"/>
              </w:rPr>
              <w:t>933 471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  <w:r>
              <w:rPr>
                <w:sz w:val="24"/>
                <w:szCs w:val="24"/>
              </w:rPr>
              <w:t xml:space="preserve"> </w:t>
            </w:r>
            <w:r w:rsidRPr="00EF78C6">
              <w:rPr>
                <w:i/>
                <w:sz w:val="24"/>
                <w:szCs w:val="24"/>
              </w:rPr>
              <w:t>(pozri nižšie)</w:t>
            </w: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7573A1">
            <w:pPr>
              <w:jc w:val="right"/>
              <w:rPr>
                <w:sz w:val="24"/>
                <w:szCs w:val="24"/>
              </w:rPr>
            </w:pP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9F7F1F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166694">
              <w:rPr>
                <w:b/>
                <w:bCs/>
                <w:sz w:val="24"/>
                <w:szCs w:val="24"/>
              </w:rPr>
              <w:t>Kapitola MDV SR</w:t>
            </w:r>
          </w:p>
        </w:tc>
        <w:tc>
          <w:tcPr>
            <w:tcW w:w="1267" w:type="dxa"/>
            <w:noWrap/>
            <w:vAlign w:val="bottom"/>
          </w:tcPr>
          <w:p w:rsidR="00A306B4" w:rsidRPr="0033102C" w:rsidRDefault="00A306B4" w:rsidP="007573A1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33102C" w:rsidRDefault="00A306B4" w:rsidP="007573A1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33102C" w:rsidRDefault="00A306B4" w:rsidP="007573A1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 </w:t>
            </w:r>
          </w:p>
        </w:tc>
      </w:tr>
      <w:tr w:rsidR="00441B8E" w:rsidRPr="007D5748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441B8E" w:rsidRPr="009F7F1F" w:rsidRDefault="00441B8E" w:rsidP="00441B8E">
            <w:pPr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Kapitola MDV SR (ŠR)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50 795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50 795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50 795</w:t>
            </w:r>
          </w:p>
        </w:tc>
      </w:tr>
      <w:tr w:rsidR="00441B8E" w:rsidRPr="007D5748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441B8E" w:rsidRPr="009F7F1F" w:rsidRDefault="00441B8E" w:rsidP="00441B8E">
            <w:pPr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Kapitola MDV SR (spolufinancovanie)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14 314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25 292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43 894</w:t>
            </w:r>
          </w:p>
        </w:tc>
      </w:tr>
      <w:tr w:rsidR="00441B8E" w:rsidRPr="007D5748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441B8E" w:rsidRPr="009F7F1F" w:rsidRDefault="00441B8E" w:rsidP="00441B8E">
            <w:pPr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Kapitola MDV SR (EÚ)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141 621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219 388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568 386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9F7F1F" w:rsidRDefault="00A306B4" w:rsidP="007573A1">
            <w:pPr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z toho:</w:t>
            </w: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 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9F7F1F" w:rsidRDefault="00A306B4" w:rsidP="007573A1">
            <w:pPr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program 017 Podpora rozvoja bývania (ŠR)</w:t>
            </w: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50 795</w:t>
            </w: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50 795</w:t>
            </w: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  <w:r w:rsidRPr="009F7F1F">
              <w:rPr>
                <w:sz w:val="24"/>
                <w:szCs w:val="24"/>
              </w:rPr>
              <w:t>50 795</w:t>
            </w:r>
          </w:p>
        </w:tc>
      </w:tr>
      <w:tr w:rsidR="00441B8E" w:rsidRPr="007D5748" w:rsidTr="0033102C">
        <w:trPr>
          <w:trHeight w:val="70"/>
          <w:jc w:val="center"/>
        </w:trPr>
        <w:tc>
          <w:tcPr>
            <w:tcW w:w="5240" w:type="dxa"/>
            <w:noWrap/>
          </w:tcPr>
          <w:p w:rsidR="00441B8E" w:rsidRPr="009F7F1F" w:rsidRDefault="00441B8E" w:rsidP="00441B8E">
            <w:pPr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program 0EB OP Integrovaná infraštruktúra (spolufinancovanie)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14 314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25 292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43 894</w:t>
            </w:r>
          </w:p>
        </w:tc>
      </w:tr>
      <w:tr w:rsidR="00441B8E" w:rsidRPr="007D5748" w:rsidTr="0033102C">
        <w:trPr>
          <w:trHeight w:val="70"/>
          <w:jc w:val="center"/>
        </w:trPr>
        <w:tc>
          <w:tcPr>
            <w:tcW w:w="5240" w:type="dxa"/>
            <w:noWrap/>
          </w:tcPr>
          <w:p w:rsidR="00441B8E" w:rsidRPr="009F7F1F" w:rsidRDefault="00441B8E" w:rsidP="00441B8E">
            <w:pPr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program 0EB OP Integrovaná infraštruktúra (EÚ)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141 621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219 388</w:t>
            </w:r>
          </w:p>
        </w:tc>
        <w:tc>
          <w:tcPr>
            <w:tcW w:w="1267" w:type="dxa"/>
            <w:noWrap/>
          </w:tcPr>
          <w:p w:rsidR="00441B8E" w:rsidRPr="009F7F1F" w:rsidRDefault="00441B8E" w:rsidP="00441B8E">
            <w:pPr>
              <w:jc w:val="right"/>
              <w:rPr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568 386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9F7F1F" w:rsidRDefault="00A306B4" w:rsidP="007573A1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A306B4" w:rsidRPr="009F7F1F" w:rsidRDefault="00A306B4" w:rsidP="007573A1">
            <w:pPr>
              <w:jc w:val="right"/>
              <w:rPr>
                <w:sz w:val="24"/>
                <w:szCs w:val="24"/>
              </w:rPr>
            </w:pPr>
          </w:p>
        </w:tc>
      </w:tr>
      <w:tr w:rsidR="00A306B4" w:rsidRPr="00464FE2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Kapitola MH SR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36DC" w:rsidRPr="00464FE2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5436DC" w:rsidRPr="00464FE2" w:rsidRDefault="005436DC" w:rsidP="005436DC">
            <w:pPr>
              <w:rPr>
                <w:bCs/>
                <w:sz w:val="24"/>
                <w:szCs w:val="24"/>
              </w:rPr>
            </w:pPr>
            <w:r w:rsidRPr="007D32B8">
              <w:rPr>
                <w:bCs/>
                <w:sz w:val="24"/>
                <w:szCs w:val="24"/>
              </w:rPr>
              <w:t>Kapitola MH SR (ŠR)</w:t>
            </w:r>
          </w:p>
        </w:tc>
        <w:tc>
          <w:tcPr>
            <w:tcW w:w="1267" w:type="dxa"/>
            <w:noWrap/>
          </w:tcPr>
          <w:p w:rsidR="005436DC" w:rsidRPr="0033102C" w:rsidRDefault="005436DC" w:rsidP="005436DC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43 685</w:t>
            </w:r>
          </w:p>
        </w:tc>
        <w:tc>
          <w:tcPr>
            <w:tcW w:w="1267" w:type="dxa"/>
            <w:noWrap/>
          </w:tcPr>
          <w:p w:rsidR="005436DC" w:rsidRPr="0033102C" w:rsidRDefault="005436DC" w:rsidP="005436DC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2 700</w:t>
            </w:r>
          </w:p>
        </w:tc>
        <w:tc>
          <w:tcPr>
            <w:tcW w:w="1267" w:type="dxa"/>
            <w:noWrap/>
          </w:tcPr>
          <w:p w:rsidR="005436DC" w:rsidRPr="0033102C" w:rsidRDefault="005436DC" w:rsidP="005436DC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2 500</w:t>
            </w:r>
          </w:p>
        </w:tc>
      </w:tr>
      <w:tr w:rsidR="0041408D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41408D" w:rsidRPr="00464FE2" w:rsidRDefault="0041408D" w:rsidP="0041408D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Kapitola MH SR (spolufinancovanie)</w:t>
            </w:r>
          </w:p>
        </w:tc>
        <w:tc>
          <w:tcPr>
            <w:tcW w:w="1267" w:type="dxa"/>
            <w:noWrap/>
          </w:tcPr>
          <w:p w:rsidR="0041408D" w:rsidRPr="00166694" w:rsidRDefault="0041408D" w:rsidP="0041408D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24 055</w:t>
            </w:r>
          </w:p>
        </w:tc>
        <w:tc>
          <w:tcPr>
            <w:tcW w:w="1267" w:type="dxa"/>
            <w:noWrap/>
          </w:tcPr>
          <w:p w:rsidR="0041408D" w:rsidRPr="00166694" w:rsidRDefault="0041408D" w:rsidP="0041408D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27 491</w:t>
            </w:r>
          </w:p>
        </w:tc>
        <w:tc>
          <w:tcPr>
            <w:tcW w:w="1267" w:type="dxa"/>
            <w:noWrap/>
          </w:tcPr>
          <w:p w:rsidR="0041408D" w:rsidRPr="00166694" w:rsidRDefault="0041408D" w:rsidP="0041408D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11 455</w:t>
            </w:r>
          </w:p>
        </w:tc>
      </w:tr>
      <w:tr w:rsidR="0041408D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41408D" w:rsidRPr="00464FE2" w:rsidRDefault="0041408D" w:rsidP="0041408D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Kapitola MH SR (EÚ)</w:t>
            </w:r>
          </w:p>
        </w:tc>
        <w:tc>
          <w:tcPr>
            <w:tcW w:w="1267" w:type="dxa"/>
            <w:noWrap/>
          </w:tcPr>
          <w:p w:rsidR="0041408D" w:rsidRPr="00166694" w:rsidRDefault="0041408D" w:rsidP="0041408D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136 309</w:t>
            </w:r>
          </w:p>
        </w:tc>
        <w:tc>
          <w:tcPr>
            <w:tcW w:w="1267" w:type="dxa"/>
            <w:noWrap/>
          </w:tcPr>
          <w:p w:rsidR="0041408D" w:rsidRPr="00166694" w:rsidRDefault="0041408D" w:rsidP="0041408D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155 782</w:t>
            </w:r>
          </w:p>
        </w:tc>
        <w:tc>
          <w:tcPr>
            <w:tcW w:w="1267" w:type="dxa"/>
            <w:noWrap/>
          </w:tcPr>
          <w:p w:rsidR="0041408D" w:rsidRPr="00166694" w:rsidRDefault="0041408D" w:rsidP="0041408D">
            <w:pPr>
              <w:jc w:val="right"/>
              <w:rPr>
                <w:sz w:val="24"/>
              </w:rPr>
            </w:pPr>
            <w:r w:rsidRPr="0033102C">
              <w:rPr>
                <w:sz w:val="24"/>
              </w:rPr>
              <w:t>64 909</w:t>
            </w:r>
          </w:p>
        </w:tc>
      </w:tr>
      <w:tr w:rsidR="00A306B4" w:rsidRPr="00464FE2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464FE2" w:rsidRDefault="00A306B4" w:rsidP="007573A1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z toho: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5436DC">
            <w:pPr>
              <w:jc w:val="right"/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5436DC">
            <w:pPr>
              <w:jc w:val="right"/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5436DC">
            <w:pPr>
              <w:jc w:val="right"/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 </w:t>
            </w:r>
          </w:p>
        </w:tc>
      </w:tr>
      <w:tr w:rsidR="00A306B4" w:rsidRPr="00464FE2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464FE2" w:rsidRDefault="005436DC" w:rsidP="00757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 07L Tvorba a implementácia</w:t>
            </w:r>
            <w:r w:rsidR="00A306B4" w:rsidRPr="00464FE2">
              <w:rPr>
                <w:bCs/>
                <w:sz w:val="24"/>
                <w:szCs w:val="24"/>
              </w:rPr>
              <w:t xml:space="preserve"> politík (ŠR)</w:t>
            </w:r>
          </w:p>
        </w:tc>
        <w:tc>
          <w:tcPr>
            <w:tcW w:w="1267" w:type="dxa"/>
            <w:noWrap/>
          </w:tcPr>
          <w:p w:rsidR="00A306B4" w:rsidRPr="00815F8F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7" w:type="dxa"/>
            <w:noWrap/>
          </w:tcPr>
          <w:p w:rsidR="00A306B4" w:rsidRPr="00815F8F" w:rsidRDefault="005436DC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A306B4" w:rsidRPr="00815F8F" w:rsidRDefault="005436DC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B6698" w:rsidRPr="00464FE2" w:rsidTr="007573A1">
        <w:trPr>
          <w:trHeight w:val="70"/>
          <w:jc w:val="center"/>
        </w:trPr>
        <w:tc>
          <w:tcPr>
            <w:tcW w:w="5240" w:type="dxa"/>
            <w:noWrap/>
          </w:tcPr>
          <w:p w:rsidR="00CB6698" w:rsidRPr="00CB6698" w:rsidRDefault="00550553" w:rsidP="00CB66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prvok</w:t>
            </w:r>
            <w:r w:rsidRPr="00CB6698">
              <w:rPr>
                <w:bCs/>
                <w:sz w:val="24"/>
                <w:szCs w:val="24"/>
              </w:rPr>
              <w:t xml:space="preserve"> </w:t>
            </w:r>
            <w:r w:rsidR="00CB6698" w:rsidRPr="00CB6698">
              <w:rPr>
                <w:bCs/>
                <w:sz w:val="24"/>
                <w:szCs w:val="24"/>
              </w:rPr>
              <w:t>07K0D05 - Podpora energetickej efektívnosti</w:t>
            </w:r>
            <w:r w:rsidR="005436DC">
              <w:rPr>
                <w:bCs/>
                <w:sz w:val="24"/>
                <w:szCs w:val="24"/>
              </w:rPr>
              <w:t xml:space="preserve"> </w:t>
            </w:r>
            <w:r w:rsidR="005436DC" w:rsidRPr="00464FE2">
              <w:rPr>
                <w:bCs/>
                <w:sz w:val="24"/>
                <w:szCs w:val="24"/>
              </w:rPr>
              <w:t>(ŠR)</w:t>
            </w:r>
          </w:p>
        </w:tc>
        <w:tc>
          <w:tcPr>
            <w:tcW w:w="1267" w:type="dxa"/>
            <w:noWrap/>
          </w:tcPr>
          <w:p w:rsidR="00CB6698" w:rsidRPr="00CB6698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1267" w:type="dxa"/>
            <w:noWrap/>
          </w:tcPr>
          <w:p w:rsidR="00CB6698" w:rsidRPr="00CB6698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2 700</w:t>
            </w:r>
          </w:p>
        </w:tc>
        <w:tc>
          <w:tcPr>
            <w:tcW w:w="1267" w:type="dxa"/>
            <w:noWrap/>
          </w:tcPr>
          <w:p w:rsidR="00CB6698" w:rsidRPr="00CB6698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2 500</w:t>
            </w:r>
          </w:p>
        </w:tc>
      </w:tr>
      <w:tr w:rsidR="00CB6698" w:rsidRPr="00464FE2" w:rsidTr="0033102C">
        <w:trPr>
          <w:trHeight w:val="70"/>
          <w:jc w:val="center"/>
        </w:trPr>
        <w:tc>
          <w:tcPr>
            <w:tcW w:w="5240" w:type="dxa"/>
            <w:shd w:val="clear" w:color="auto" w:fill="auto"/>
            <w:noWrap/>
          </w:tcPr>
          <w:p w:rsidR="00CB6698" w:rsidRPr="007E2C12" w:rsidRDefault="00550553" w:rsidP="00CB66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prvok</w:t>
            </w:r>
            <w:r w:rsidRPr="00CB6698">
              <w:rPr>
                <w:bCs/>
                <w:sz w:val="24"/>
                <w:szCs w:val="24"/>
              </w:rPr>
              <w:t xml:space="preserve"> </w:t>
            </w:r>
            <w:r w:rsidR="007E2C12" w:rsidRPr="007E2C12">
              <w:rPr>
                <w:bCs/>
                <w:sz w:val="24"/>
                <w:szCs w:val="24"/>
              </w:rPr>
              <w:t>07K0403</w:t>
            </w:r>
            <w:r w:rsidR="007E2C12">
              <w:rPr>
                <w:bCs/>
                <w:sz w:val="24"/>
                <w:szCs w:val="24"/>
              </w:rPr>
              <w:t xml:space="preserve"> </w:t>
            </w:r>
            <w:r w:rsidR="007E2C12" w:rsidRPr="007E2C12">
              <w:rPr>
                <w:bCs/>
                <w:sz w:val="24"/>
                <w:szCs w:val="24"/>
              </w:rPr>
              <w:t>-</w:t>
            </w:r>
            <w:r w:rsidR="007E2C12">
              <w:rPr>
                <w:bCs/>
                <w:sz w:val="24"/>
                <w:szCs w:val="24"/>
              </w:rPr>
              <w:t xml:space="preserve"> </w:t>
            </w:r>
            <w:r w:rsidR="007E2C12" w:rsidRPr="007E2C12">
              <w:rPr>
                <w:bCs/>
                <w:sz w:val="24"/>
                <w:szCs w:val="24"/>
              </w:rPr>
              <w:t>Podpora rozvoja strategických investícií - Investičné stimuly (ŠR)</w:t>
            </w:r>
          </w:p>
        </w:tc>
        <w:tc>
          <w:tcPr>
            <w:tcW w:w="1267" w:type="dxa"/>
            <w:shd w:val="clear" w:color="auto" w:fill="auto"/>
            <w:noWrap/>
          </w:tcPr>
          <w:p w:rsidR="00CB6698" w:rsidRPr="007E2C12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 w:rsidRPr="007E2C12">
              <w:rPr>
                <w:bCs/>
                <w:sz w:val="24"/>
                <w:szCs w:val="24"/>
              </w:rPr>
              <w:t>42 176</w:t>
            </w:r>
          </w:p>
        </w:tc>
        <w:tc>
          <w:tcPr>
            <w:tcW w:w="1267" w:type="dxa"/>
            <w:shd w:val="clear" w:color="auto" w:fill="auto"/>
            <w:noWrap/>
          </w:tcPr>
          <w:p w:rsidR="00CB6698" w:rsidRPr="00CB6698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</w:tcPr>
          <w:p w:rsidR="00CB6698" w:rsidRPr="00CB6698" w:rsidRDefault="00CB6698" w:rsidP="005436D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50553" w:rsidRPr="00464FE2" w:rsidTr="0033102C">
        <w:trPr>
          <w:trHeight w:val="7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550553" w:rsidRPr="00550553" w:rsidRDefault="00550553" w:rsidP="00550553">
            <w:pPr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podprogram 0EA02 - Operačný program Výskum a inovácie – časť MH SR (ŠR)</w:t>
            </w:r>
          </w:p>
        </w:tc>
        <w:tc>
          <w:tcPr>
            <w:tcW w:w="1267" w:type="dxa"/>
            <w:shd w:val="clear" w:color="auto" w:fill="auto"/>
            <w:noWrap/>
          </w:tcPr>
          <w:p w:rsidR="00550553" w:rsidRPr="00464FE2" w:rsidRDefault="00550553" w:rsidP="00550553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24 055</w:t>
            </w:r>
          </w:p>
        </w:tc>
        <w:tc>
          <w:tcPr>
            <w:tcW w:w="1267" w:type="dxa"/>
            <w:shd w:val="clear" w:color="auto" w:fill="auto"/>
            <w:noWrap/>
          </w:tcPr>
          <w:p w:rsidR="00550553" w:rsidRPr="00464FE2" w:rsidRDefault="00550553" w:rsidP="00550553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27 491</w:t>
            </w:r>
          </w:p>
        </w:tc>
        <w:tc>
          <w:tcPr>
            <w:tcW w:w="1267" w:type="dxa"/>
            <w:shd w:val="clear" w:color="auto" w:fill="auto"/>
            <w:noWrap/>
          </w:tcPr>
          <w:p w:rsidR="00550553" w:rsidRPr="00464FE2" w:rsidRDefault="00550553" w:rsidP="00550553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11 455</w:t>
            </w:r>
          </w:p>
        </w:tc>
      </w:tr>
      <w:tr w:rsidR="00550553" w:rsidRPr="00464FE2" w:rsidTr="0033102C">
        <w:trPr>
          <w:trHeight w:val="70"/>
          <w:jc w:val="center"/>
        </w:trPr>
        <w:tc>
          <w:tcPr>
            <w:tcW w:w="5240" w:type="dxa"/>
            <w:shd w:val="clear" w:color="auto" w:fill="auto"/>
            <w:noWrap/>
            <w:vAlign w:val="bottom"/>
          </w:tcPr>
          <w:p w:rsidR="00550553" w:rsidRPr="00550553" w:rsidRDefault="00550553" w:rsidP="00550553">
            <w:pPr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podprogram 0EA02 - Operačný program Výskum a inovácie – časť MH SR (EÚ)</w:t>
            </w:r>
          </w:p>
        </w:tc>
        <w:tc>
          <w:tcPr>
            <w:tcW w:w="1267" w:type="dxa"/>
            <w:shd w:val="clear" w:color="auto" w:fill="auto"/>
            <w:noWrap/>
          </w:tcPr>
          <w:p w:rsidR="00550553" w:rsidRPr="00464FE2" w:rsidRDefault="00550553" w:rsidP="00550553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136 309</w:t>
            </w:r>
          </w:p>
        </w:tc>
        <w:tc>
          <w:tcPr>
            <w:tcW w:w="1267" w:type="dxa"/>
            <w:shd w:val="clear" w:color="auto" w:fill="auto"/>
            <w:noWrap/>
          </w:tcPr>
          <w:p w:rsidR="00550553" w:rsidRPr="00464FE2" w:rsidRDefault="00550553" w:rsidP="00550553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155 782</w:t>
            </w:r>
          </w:p>
        </w:tc>
        <w:tc>
          <w:tcPr>
            <w:tcW w:w="1267" w:type="dxa"/>
            <w:shd w:val="clear" w:color="auto" w:fill="auto"/>
            <w:noWrap/>
          </w:tcPr>
          <w:p w:rsidR="00550553" w:rsidRPr="00464FE2" w:rsidRDefault="00550553" w:rsidP="00550553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64 909</w:t>
            </w:r>
          </w:p>
        </w:tc>
      </w:tr>
      <w:tr w:rsidR="0041408D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41408D" w:rsidRPr="00550553" w:rsidRDefault="0041408D" w:rsidP="007573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1408D" w:rsidRPr="007D5748" w:rsidRDefault="0041408D" w:rsidP="00757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1408D" w:rsidRPr="007D5748" w:rsidRDefault="0041408D" w:rsidP="00757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1408D" w:rsidRPr="007D5748" w:rsidRDefault="0041408D" w:rsidP="007573A1">
            <w:pPr>
              <w:jc w:val="right"/>
              <w:rPr>
                <w:sz w:val="24"/>
                <w:szCs w:val="24"/>
              </w:rPr>
            </w:pPr>
          </w:p>
        </w:tc>
      </w:tr>
      <w:tr w:rsidR="00A306B4" w:rsidRPr="00464FE2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Kapitola MPRV SR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464F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84C95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E84C95" w:rsidRPr="00464FE2" w:rsidRDefault="00E84C95" w:rsidP="00E84C95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Kapitola MPRV SR (ŠR)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0</w:t>
            </w:r>
          </w:p>
        </w:tc>
      </w:tr>
      <w:tr w:rsidR="00E84C95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E84C95" w:rsidRPr="00464FE2" w:rsidRDefault="00E84C95" w:rsidP="00E84C95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Kapitola MPRV SR (spolufinancovanie)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10 382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8 552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8 257</w:t>
            </w:r>
          </w:p>
        </w:tc>
      </w:tr>
      <w:tr w:rsidR="00E84C95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E84C95" w:rsidRPr="00464FE2" w:rsidRDefault="00E84C95" w:rsidP="00E84C95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Kapitola MPRV SR (EÚ)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72 268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63 799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63 928</w:t>
            </w:r>
          </w:p>
        </w:tc>
      </w:tr>
      <w:tr w:rsidR="00A306B4" w:rsidRPr="00464FE2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464FE2" w:rsidRDefault="00A306B4" w:rsidP="007573A1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z toho: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464FE2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 </w:t>
            </w:r>
          </w:p>
        </w:tc>
      </w:tr>
      <w:tr w:rsidR="00E84C95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E84C95" w:rsidRPr="00464FE2" w:rsidRDefault="00E84C95" w:rsidP="00E84C95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p</w:t>
            </w:r>
            <w:r w:rsidR="00550553">
              <w:rPr>
                <w:bCs/>
                <w:sz w:val="24"/>
                <w:szCs w:val="24"/>
              </w:rPr>
              <w:t>odp</w:t>
            </w:r>
            <w:r w:rsidRPr="00464FE2">
              <w:rPr>
                <w:bCs/>
                <w:sz w:val="24"/>
                <w:szCs w:val="24"/>
              </w:rPr>
              <w:t xml:space="preserve">rogram </w:t>
            </w:r>
            <w:r w:rsidR="00D07AEA" w:rsidRPr="00D07AEA">
              <w:rPr>
                <w:bCs/>
                <w:sz w:val="24"/>
                <w:szCs w:val="24"/>
              </w:rPr>
              <w:t>0DV01</w:t>
            </w:r>
            <w:r w:rsidR="00D07AEA" w:rsidRPr="00D07AEA" w:rsidDel="00D07AEA">
              <w:rPr>
                <w:bCs/>
                <w:sz w:val="24"/>
                <w:szCs w:val="24"/>
              </w:rPr>
              <w:t xml:space="preserve"> </w:t>
            </w:r>
            <w:r w:rsidRPr="00464FE2">
              <w:rPr>
                <w:bCs/>
                <w:sz w:val="24"/>
                <w:szCs w:val="24"/>
              </w:rPr>
              <w:t>IROP (spolufinancovanie)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10 382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8 552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8 257</w:t>
            </w:r>
          </w:p>
        </w:tc>
      </w:tr>
      <w:tr w:rsidR="00E84C95" w:rsidRPr="00464FE2" w:rsidTr="0033102C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E84C95" w:rsidRPr="00464FE2" w:rsidRDefault="00E84C95" w:rsidP="00E84C95">
            <w:pPr>
              <w:rPr>
                <w:bCs/>
                <w:sz w:val="24"/>
                <w:szCs w:val="24"/>
              </w:rPr>
            </w:pPr>
            <w:r w:rsidRPr="00464FE2">
              <w:rPr>
                <w:bCs/>
                <w:sz w:val="24"/>
                <w:szCs w:val="24"/>
              </w:rPr>
              <w:t>p</w:t>
            </w:r>
            <w:r w:rsidR="00550553">
              <w:rPr>
                <w:bCs/>
                <w:sz w:val="24"/>
                <w:szCs w:val="24"/>
              </w:rPr>
              <w:t>odp</w:t>
            </w:r>
            <w:r w:rsidRPr="00464FE2">
              <w:rPr>
                <w:bCs/>
                <w:sz w:val="24"/>
                <w:szCs w:val="24"/>
              </w:rPr>
              <w:t xml:space="preserve">rogram </w:t>
            </w:r>
            <w:r w:rsidR="00D07AEA" w:rsidRPr="00D07AEA">
              <w:rPr>
                <w:bCs/>
                <w:sz w:val="24"/>
                <w:szCs w:val="24"/>
              </w:rPr>
              <w:t>0DV01</w:t>
            </w:r>
            <w:r w:rsidR="00D07AEA" w:rsidRPr="00D07AEA" w:rsidDel="00D07AEA">
              <w:rPr>
                <w:bCs/>
                <w:sz w:val="24"/>
                <w:szCs w:val="24"/>
              </w:rPr>
              <w:t xml:space="preserve"> </w:t>
            </w:r>
            <w:r w:rsidRPr="00464FE2">
              <w:rPr>
                <w:bCs/>
                <w:sz w:val="24"/>
                <w:szCs w:val="24"/>
              </w:rPr>
              <w:t>IROP (EÚ)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72 268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63 799</w:t>
            </w:r>
          </w:p>
        </w:tc>
        <w:tc>
          <w:tcPr>
            <w:tcW w:w="1267" w:type="dxa"/>
            <w:noWrap/>
          </w:tcPr>
          <w:p w:rsidR="00E84C95" w:rsidRPr="00464FE2" w:rsidRDefault="00E84C95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63 928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166694" w:rsidRDefault="00A306B4" w:rsidP="001666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D07AEA" w:rsidRDefault="00A306B4" w:rsidP="00D07AE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D07AEA" w:rsidRDefault="00A306B4" w:rsidP="00D07AE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Kapitola MŽP SR</w:t>
            </w:r>
          </w:p>
        </w:tc>
        <w:tc>
          <w:tcPr>
            <w:tcW w:w="1267" w:type="dxa"/>
            <w:noWrap/>
            <w:vAlign w:val="bottom"/>
          </w:tcPr>
          <w:p w:rsidR="00A306B4" w:rsidRPr="0033102C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33102C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33102C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33102C">
              <w:rPr>
                <w:bCs/>
                <w:sz w:val="24"/>
                <w:szCs w:val="24"/>
              </w:rPr>
              <w:t> 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Kapitola MŽP SR (ŠR)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Kapitola MŽP SR (spolufinancovanie)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12 949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8 828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8 800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Kapitola MŽP SR (EÚ)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105 851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107 985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64 430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z toho: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 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 xml:space="preserve">program 0XX - </w:t>
            </w:r>
            <w:proofErr w:type="spellStart"/>
            <w:r w:rsidRPr="00C01F41">
              <w:rPr>
                <w:bCs/>
                <w:sz w:val="24"/>
                <w:szCs w:val="24"/>
              </w:rPr>
              <w:t>Slovseff</w:t>
            </w:r>
            <w:proofErr w:type="spellEnd"/>
            <w:r w:rsidRPr="00C01F41">
              <w:rPr>
                <w:bCs/>
                <w:sz w:val="24"/>
                <w:szCs w:val="24"/>
              </w:rPr>
              <w:t xml:space="preserve"> III. (ŠR)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550553" w:rsidP="00757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</w:t>
            </w:r>
            <w:r w:rsidR="00A306B4" w:rsidRPr="00C01F41">
              <w:rPr>
                <w:bCs/>
                <w:sz w:val="24"/>
                <w:szCs w:val="24"/>
              </w:rPr>
              <w:t xml:space="preserve">program </w:t>
            </w:r>
            <w:r w:rsidR="00876AEB" w:rsidRPr="00876AEB">
              <w:rPr>
                <w:bCs/>
                <w:sz w:val="24"/>
                <w:szCs w:val="24"/>
              </w:rPr>
              <w:t>07508</w:t>
            </w:r>
            <w:r w:rsidR="00876AEB" w:rsidRPr="00876AEB" w:rsidDel="00876AEB">
              <w:rPr>
                <w:bCs/>
                <w:sz w:val="24"/>
                <w:szCs w:val="24"/>
              </w:rPr>
              <w:t xml:space="preserve"> </w:t>
            </w:r>
            <w:r w:rsidR="00A306B4" w:rsidRPr="00C01F41">
              <w:rPr>
                <w:bCs/>
                <w:sz w:val="24"/>
                <w:szCs w:val="24"/>
              </w:rPr>
              <w:t>-</w:t>
            </w:r>
            <w:r w:rsidR="00876AEB">
              <w:rPr>
                <w:bCs/>
                <w:sz w:val="24"/>
                <w:szCs w:val="24"/>
              </w:rPr>
              <w:t xml:space="preserve"> </w:t>
            </w:r>
            <w:r w:rsidR="00A306B4" w:rsidRPr="00C01F41">
              <w:rPr>
                <w:bCs/>
                <w:sz w:val="24"/>
                <w:szCs w:val="24"/>
              </w:rPr>
              <w:t>OP KŽP (</w:t>
            </w:r>
            <w:r w:rsidR="00876AEB" w:rsidRPr="00464FE2">
              <w:rPr>
                <w:bCs/>
                <w:sz w:val="24"/>
                <w:szCs w:val="24"/>
              </w:rPr>
              <w:t>spolufinancovanie</w:t>
            </w:r>
            <w:r w:rsidR="00A306B4" w:rsidRPr="00C01F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12 949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8 828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8 800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550553" w:rsidP="00757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</w:t>
            </w:r>
            <w:r w:rsidR="00A306B4" w:rsidRPr="00C01F41">
              <w:rPr>
                <w:bCs/>
                <w:sz w:val="24"/>
                <w:szCs w:val="24"/>
              </w:rPr>
              <w:t xml:space="preserve">program </w:t>
            </w:r>
            <w:r w:rsidR="00876AEB" w:rsidRPr="00876AEB">
              <w:rPr>
                <w:bCs/>
                <w:sz w:val="24"/>
                <w:szCs w:val="24"/>
              </w:rPr>
              <w:t>07508</w:t>
            </w:r>
            <w:r w:rsidR="00876AEB" w:rsidRPr="00876AEB" w:rsidDel="00876AEB">
              <w:rPr>
                <w:bCs/>
                <w:sz w:val="24"/>
                <w:szCs w:val="24"/>
              </w:rPr>
              <w:t xml:space="preserve"> </w:t>
            </w:r>
            <w:r w:rsidR="00A306B4" w:rsidRPr="00C01F41">
              <w:rPr>
                <w:bCs/>
                <w:sz w:val="24"/>
                <w:szCs w:val="24"/>
              </w:rPr>
              <w:t>-</w:t>
            </w:r>
            <w:r w:rsidR="00876AEB">
              <w:rPr>
                <w:bCs/>
                <w:sz w:val="24"/>
                <w:szCs w:val="24"/>
              </w:rPr>
              <w:t xml:space="preserve"> </w:t>
            </w:r>
            <w:r w:rsidR="00A306B4" w:rsidRPr="00C01F41">
              <w:rPr>
                <w:bCs/>
                <w:sz w:val="24"/>
                <w:szCs w:val="24"/>
              </w:rPr>
              <w:t>OP KŽP (EÚ)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105 851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107 985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64 430</w:t>
            </w:r>
          </w:p>
        </w:tc>
      </w:tr>
      <w:tr w:rsidR="00A306B4" w:rsidRPr="007D5748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1666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D07A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7D5748" w:rsidRDefault="00A306B4" w:rsidP="00D07AEA">
            <w:pPr>
              <w:jc w:val="right"/>
              <w:rPr>
                <w:sz w:val="24"/>
                <w:szCs w:val="24"/>
              </w:rPr>
            </w:pP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C01F41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 xml:space="preserve">Environmentálny fond 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lastRenderedPageBreak/>
              <w:t>08U/02 Podpora projektov Environmentálneho fondu (ŠR)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5 875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5 875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5 875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center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166694">
            <w:pPr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Všetky ÚOŠS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/>
                <w:bCs/>
                <w:sz w:val="24"/>
                <w:szCs w:val="24"/>
              </w:rPr>
            </w:pPr>
            <w:r w:rsidRPr="00C01F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Kapitola ÚOŠS SR (ŠR)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12 396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12 396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9 507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Kapitola ÚOŠS SR (spolufinancovanie)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</w:tr>
      <w:tr w:rsidR="00A306B4" w:rsidRPr="00C01F41" w:rsidTr="007573A1">
        <w:trPr>
          <w:trHeight w:val="70"/>
          <w:jc w:val="center"/>
        </w:trPr>
        <w:tc>
          <w:tcPr>
            <w:tcW w:w="5240" w:type="dxa"/>
            <w:noWrap/>
            <w:vAlign w:val="bottom"/>
          </w:tcPr>
          <w:p w:rsidR="00A306B4" w:rsidRPr="00C01F41" w:rsidRDefault="00A306B4" w:rsidP="007573A1">
            <w:pPr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Kapitola ÚOŠS SR (EÚ)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A306B4" w:rsidRPr="00C01F41" w:rsidRDefault="00A306B4" w:rsidP="0033102C">
            <w:pPr>
              <w:jc w:val="right"/>
              <w:rPr>
                <w:bCs/>
                <w:sz w:val="24"/>
                <w:szCs w:val="24"/>
              </w:rPr>
            </w:pPr>
            <w:r w:rsidRPr="00C01F41">
              <w:rPr>
                <w:bCs/>
                <w:sz w:val="24"/>
                <w:szCs w:val="24"/>
              </w:rPr>
              <w:t>0</w:t>
            </w:r>
          </w:p>
        </w:tc>
      </w:tr>
    </w:tbl>
    <w:p w:rsidR="00A306B4" w:rsidRDefault="00A306B4" w:rsidP="00A306B4">
      <w:pPr>
        <w:jc w:val="both"/>
        <w:rPr>
          <w:bCs/>
          <w:sz w:val="24"/>
          <w:szCs w:val="24"/>
        </w:rPr>
      </w:pPr>
    </w:p>
    <w:p w:rsidR="00A306B4" w:rsidRPr="00CD541B" w:rsidRDefault="00A306B4" w:rsidP="00A306B4">
      <w:pPr>
        <w:jc w:val="both"/>
        <w:rPr>
          <w:bCs/>
          <w:sz w:val="24"/>
          <w:szCs w:val="24"/>
        </w:rPr>
      </w:pPr>
      <w:r w:rsidRPr="00CD541B">
        <w:rPr>
          <w:bCs/>
          <w:sz w:val="24"/>
          <w:szCs w:val="24"/>
        </w:rPr>
        <w:t>Uvedené vyčíslenie vplyvov je predbežný návrh</w:t>
      </w:r>
      <w:r>
        <w:rPr>
          <w:bCs/>
          <w:sz w:val="24"/>
          <w:szCs w:val="24"/>
        </w:rPr>
        <w:t xml:space="preserve"> vychádzajúci z plánovaných opatrení na roky 2017-2019 a údajov z jednotlivých rezortov o plánovaných financiách na dané obdobie vychádzajúcich z návrhov rozpočtov jednotlivých kapitol. Nakoľko nie všetky rezorty zaslali požadované údaje v stanovenom čase, chýbajúce údaje budú doplnené dodatočne.   </w:t>
      </w:r>
    </w:p>
    <w:p w:rsidR="00A306B4" w:rsidRDefault="00A306B4" w:rsidP="00A306B4">
      <w:pPr>
        <w:jc w:val="both"/>
        <w:rPr>
          <w:b/>
          <w:bCs/>
          <w:sz w:val="24"/>
          <w:szCs w:val="24"/>
        </w:rPr>
      </w:pPr>
    </w:p>
    <w:p w:rsidR="00A306B4" w:rsidRDefault="00A306B4" w:rsidP="00A306B4">
      <w:pPr>
        <w:jc w:val="both"/>
        <w:rPr>
          <w:b/>
          <w:bCs/>
          <w:sz w:val="24"/>
          <w:szCs w:val="24"/>
        </w:rPr>
      </w:pPr>
    </w:p>
    <w:p w:rsidR="00A306B4" w:rsidRPr="007D5748" w:rsidRDefault="00A306B4" w:rsidP="00A306B4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A306B4" w:rsidRPr="007D5748" w:rsidRDefault="00A306B4" w:rsidP="00A306B4">
      <w:pPr>
        <w:jc w:val="both"/>
        <w:rPr>
          <w:b/>
          <w:bCs/>
          <w:sz w:val="12"/>
          <w:szCs w:val="24"/>
        </w:rPr>
      </w:pPr>
    </w:p>
    <w:p w:rsidR="00A306B4" w:rsidRPr="007D5748" w:rsidRDefault="00A306B4" w:rsidP="00A306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A306B4" w:rsidRPr="007D5748" w:rsidRDefault="00695517" w:rsidP="003310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33102C">
        <w:rPr>
          <w:bCs/>
          <w:sz w:val="24"/>
          <w:szCs w:val="24"/>
        </w:rPr>
        <w:t xml:space="preserve">Keďže sa z jednotlivých operačných programov, ktoré sú v pôsobnosti relevantných rezortov, v predchádzajúcom období (2014-2016) zdroje nečerpali  alebo sa čerpali v malej miere, vplyvy na rozpočet verejnej správy sú o tieto sumy navýšené v ďalšom období (2017-2019). </w:t>
      </w:r>
      <w:r w:rsidR="00876AEB">
        <w:rPr>
          <w:bCs/>
          <w:sz w:val="24"/>
          <w:szCs w:val="24"/>
        </w:rPr>
        <w:t>Rozdiel je najmä v Integrovanom regionálnom programe (2014-2020).</w:t>
      </w:r>
    </w:p>
    <w:p w:rsidR="00A306B4" w:rsidRPr="007D5748" w:rsidRDefault="00A306B4" w:rsidP="00A306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A306B4" w:rsidRPr="007D5748" w:rsidRDefault="00A306B4" w:rsidP="00A306B4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A306B4" w:rsidRPr="007D5748" w:rsidRDefault="00A306B4" w:rsidP="00A306B4">
      <w:pPr>
        <w:jc w:val="both"/>
        <w:rPr>
          <w:b/>
          <w:bCs/>
          <w:sz w:val="24"/>
          <w:szCs w:val="24"/>
        </w:rPr>
      </w:pPr>
    </w:p>
    <w:p w:rsidR="00A306B4" w:rsidRPr="007D5748" w:rsidRDefault="00A306B4" w:rsidP="00A306B4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06B4" w:rsidRPr="0080697D" w:rsidRDefault="00A306B4" w:rsidP="00A306B4">
      <w:pPr>
        <w:rPr>
          <w:sz w:val="24"/>
          <w:szCs w:val="24"/>
        </w:rPr>
      </w:pPr>
    </w:p>
    <w:p w:rsidR="00A306B4" w:rsidRPr="0080697D" w:rsidRDefault="00A306B4" w:rsidP="00A306B4">
      <w:pPr>
        <w:jc w:val="both"/>
        <w:rPr>
          <w:sz w:val="24"/>
          <w:szCs w:val="24"/>
        </w:rPr>
      </w:pPr>
      <w:r w:rsidRPr="00CD541B">
        <w:rPr>
          <w:sz w:val="24"/>
          <w:szCs w:val="24"/>
        </w:rPr>
        <w:t>Návrh</w:t>
      </w:r>
      <w:r w:rsidRPr="0080697D">
        <w:rPr>
          <w:sz w:val="24"/>
          <w:szCs w:val="24"/>
        </w:rPr>
        <w:t xml:space="preserve"> rieši problematiku úspor energie v jednotlivých sektoroch národného hospodárstva,  a to v sektore budov, priemyslu, vo verejnom sektore, v sektore spotrebičov a dopravy, ako aj v sektore premena, prenos a distribúcia energie. Návrh zahŕňa opatrenia, ktoré patria do pôsobnosti viacerých rezortov (najmä MH SR, MDV</w:t>
      </w:r>
      <w:r>
        <w:rPr>
          <w:sz w:val="24"/>
          <w:szCs w:val="24"/>
        </w:rPr>
        <w:t xml:space="preserve"> SR, MPRV SR, MZ SR, MŠVVŠ SR</w:t>
      </w:r>
      <w:r w:rsidRPr="0080697D">
        <w:rPr>
          <w:sz w:val="24"/>
          <w:szCs w:val="24"/>
        </w:rPr>
        <w:t xml:space="preserve">), ako aj miest a obcí, prípadne ho realizujú neštátne inštitúcie. Súčasťou návrhu sú aj prierezové, tzv. horizontálne opatrenia, ktoré prispievajú k úsporám energie v rôznych sektoroch zároveň, resp. majú rámcový charakter (napr. legislatívne opatrenia, </w:t>
      </w:r>
      <w:r>
        <w:rPr>
          <w:sz w:val="24"/>
          <w:szCs w:val="24"/>
        </w:rPr>
        <w:t>vzdelávanie</w:t>
      </w:r>
      <w:r w:rsidRPr="0080697D">
        <w:rPr>
          <w:sz w:val="24"/>
          <w:szCs w:val="24"/>
        </w:rPr>
        <w:t xml:space="preserve"> atď.) Návrh budú implementovať všetky uvedené rezorty, pričom verejný sektor má hrať vedúcu úlohu pri implementácii jednotlivých opatrení. MH SR koordinuje aktivity navrhnuté v materiáli a priebežne vyhodnocuje plnenie jednotlivých opatrení. </w:t>
      </w:r>
    </w:p>
    <w:p w:rsidR="00A306B4" w:rsidRPr="0080697D" w:rsidRDefault="00A306B4" w:rsidP="00A306B4">
      <w:pPr>
        <w:jc w:val="both"/>
        <w:rPr>
          <w:sz w:val="24"/>
          <w:szCs w:val="24"/>
        </w:rPr>
      </w:pPr>
    </w:p>
    <w:p w:rsidR="00A306B4" w:rsidRPr="0080697D" w:rsidRDefault="00A306B4" w:rsidP="00A306B4">
      <w:pPr>
        <w:jc w:val="both"/>
        <w:rPr>
          <w:sz w:val="24"/>
          <w:szCs w:val="24"/>
        </w:rPr>
      </w:pPr>
      <w:r w:rsidRPr="0080697D">
        <w:rPr>
          <w:sz w:val="24"/>
          <w:szCs w:val="24"/>
        </w:rPr>
        <w:t xml:space="preserve">Akčné plány energetickej efektívnosti sa vypracúvajú každé tri roky. V súlade so zákonom č. </w:t>
      </w:r>
      <w:r>
        <w:rPr>
          <w:sz w:val="24"/>
          <w:szCs w:val="24"/>
        </w:rPr>
        <w:t>321/2014</w:t>
      </w:r>
      <w:r w:rsidRPr="0080697D">
        <w:rPr>
          <w:sz w:val="24"/>
          <w:szCs w:val="24"/>
        </w:rPr>
        <w:t xml:space="preserve"> Z. z. o energetickej efektívnosti, ako aj smernicou 2012/27/EÚ o energetickej efektívnosti obsahujú </w:t>
      </w:r>
      <w:r>
        <w:rPr>
          <w:sz w:val="24"/>
          <w:szCs w:val="24"/>
        </w:rPr>
        <w:t>tak</w:t>
      </w:r>
      <w:r w:rsidRPr="0080697D">
        <w:rPr>
          <w:sz w:val="24"/>
          <w:szCs w:val="24"/>
        </w:rPr>
        <w:t xml:space="preserve"> vyhodnotenie opatrení z predchádzajúceho akčného plánu, </w:t>
      </w:r>
      <w:r>
        <w:rPr>
          <w:sz w:val="24"/>
          <w:szCs w:val="24"/>
        </w:rPr>
        <w:t>ako aj plánovanie</w:t>
      </w:r>
      <w:r w:rsidRPr="0080697D">
        <w:rPr>
          <w:sz w:val="24"/>
          <w:szCs w:val="24"/>
        </w:rPr>
        <w:t xml:space="preserve"> opatrení za účelom plnenia stanovených cieľov úspor energie (podľa smernice 2012/27/EÚ). Okrem toho akčné plány </w:t>
      </w:r>
      <w:r>
        <w:rPr>
          <w:sz w:val="24"/>
          <w:szCs w:val="24"/>
        </w:rPr>
        <w:t>poskytujú</w:t>
      </w:r>
      <w:r w:rsidRPr="0080697D">
        <w:rPr>
          <w:sz w:val="24"/>
          <w:szCs w:val="24"/>
        </w:rPr>
        <w:t xml:space="preserve"> informácie o</w:t>
      </w:r>
      <w:r>
        <w:rPr>
          <w:sz w:val="24"/>
          <w:szCs w:val="24"/>
        </w:rPr>
        <w:t> implementácii smernice</w:t>
      </w:r>
      <w:r w:rsidRPr="0080697D">
        <w:rPr>
          <w:sz w:val="24"/>
          <w:szCs w:val="24"/>
        </w:rPr>
        <w:t xml:space="preserve"> 2012/27/EÚ </w:t>
      </w:r>
      <w:r>
        <w:rPr>
          <w:sz w:val="24"/>
          <w:szCs w:val="24"/>
        </w:rPr>
        <w:t xml:space="preserve">v </w:t>
      </w:r>
      <w:r w:rsidRPr="0080697D">
        <w:rPr>
          <w:sz w:val="24"/>
          <w:szCs w:val="24"/>
        </w:rPr>
        <w:t xml:space="preserve">SR. </w:t>
      </w:r>
    </w:p>
    <w:p w:rsidR="00A306B4" w:rsidRPr="0080697D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lastRenderedPageBreak/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</w:t>
      </w:r>
      <w:r>
        <w:rPr>
          <w:sz w:val="24"/>
          <w:szCs w:val="24"/>
          <w:bdr w:val="single" w:sz="4" w:space="0" w:color="auto"/>
        </w:rPr>
        <w:t>x</w:t>
      </w:r>
      <w:r w:rsidRPr="007D5748">
        <w:rPr>
          <w:sz w:val="24"/>
          <w:szCs w:val="24"/>
          <w:bdr w:val="single" w:sz="4" w:space="0" w:color="auto"/>
        </w:rPr>
        <w:t xml:space="preserve"> </w:t>
      </w:r>
      <w:r w:rsidRPr="007D5748">
        <w:rPr>
          <w:sz w:val="24"/>
          <w:szCs w:val="24"/>
        </w:rPr>
        <w:t xml:space="preserve">  iné </w:t>
      </w: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A306B4" w:rsidRPr="007D5748" w:rsidRDefault="00A306B4" w:rsidP="00A306B4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06B4" w:rsidRPr="007D5748" w:rsidTr="007573A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A306B4" w:rsidRPr="007D5748" w:rsidTr="007573A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A306B4" w:rsidRPr="007D5748" w:rsidTr="007573A1">
        <w:trPr>
          <w:trHeight w:val="70"/>
        </w:trPr>
        <w:tc>
          <w:tcPr>
            <w:tcW w:w="4530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306B4" w:rsidRPr="007D5748" w:rsidTr="007573A1">
        <w:trPr>
          <w:trHeight w:val="70"/>
        </w:trPr>
        <w:tc>
          <w:tcPr>
            <w:tcW w:w="4530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306B4" w:rsidRPr="007D5748" w:rsidTr="007573A1">
        <w:trPr>
          <w:trHeight w:val="70"/>
        </w:trPr>
        <w:tc>
          <w:tcPr>
            <w:tcW w:w="4530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6B4" w:rsidRPr="007D5748" w:rsidRDefault="00A306B4" w:rsidP="007573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A306B4" w:rsidRPr="007D5748" w:rsidRDefault="00A306B4" w:rsidP="00A306B4">
      <w:pPr>
        <w:rPr>
          <w:sz w:val="24"/>
          <w:szCs w:val="24"/>
        </w:rPr>
      </w:pPr>
    </w:p>
    <w:p w:rsidR="00A306B4" w:rsidRPr="007D5748" w:rsidRDefault="00A306B4" w:rsidP="00A306B4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A306B4" w:rsidRPr="007D5748" w:rsidRDefault="00A306B4" w:rsidP="00A306B4">
      <w:pPr>
        <w:jc w:val="both"/>
        <w:rPr>
          <w:sz w:val="24"/>
          <w:szCs w:val="24"/>
        </w:rPr>
      </w:pPr>
    </w:p>
    <w:p w:rsidR="00A306B4" w:rsidRPr="007D5748" w:rsidRDefault="00A306B4" w:rsidP="00A306B4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A306B4" w:rsidRPr="00E606A6" w:rsidRDefault="00A306B4" w:rsidP="00A306B4">
      <w:pPr>
        <w:tabs>
          <w:tab w:val="num" w:pos="1080"/>
        </w:tabs>
        <w:jc w:val="both"/>
        <w:rPr>
          <w:bCs/>
          <w:sz w:val="24"/>
          <w:szCs w:val="24"/>
          <w:u w:val="single"/>
        </w:rPr>
      </w:pPr>
      <w:r w:rsidRPr="00E606A6">
        <w:rPr>
          <w:bCs/>
          <w:sz w:val="24"/>
          <w:szCs w:val="24"/>
          <w:u w:val="single"/>
        </w:rPr>
        <w:t>Výdavky</w:t>
      </w:r>
    </w:p>
    <w:p w:rsidR="00A306B4" w:rsidRDefault="00A306B4" w:rsidP="00A306B4">
      <w:pPr>
        <w:tabs>
          <w:tab w:val="num" w:pos="1080"/>
        </w:tabs>
        <w:jc w:val="both"/>
        <w:rPr>
          <w:bCs/>
          <w:sz w:val="24"/>
          <w:szCs w:val="24"/>
        </w:rPr>
      </w:pPr>
      <w:r w:rsidRPr="00CD541B">
        <w:rPr>
          <w:bCs/>
          <w:sz w:val="24"/>
          <w:szCs w:val="24"/>
        </w:rPr>
        <w:t>Výdavky</w:t>
      </w:r>
      <w:r w:rsidRPr="00E606A6">
        <w:rPr>
          <w:bCs/>
          <w:sz w:val="24"/>
          <w:szCs w:val="24"/>
        </w:rPr>
        <w:t xml:space="preserve">  sú rozdelené podľa jednotlivých rozpočtových kapitol. Vzhľadom na veľkých počet relevantných rezortov a organi</w:t>
      </w:r>
      <w:r>
        <w:rPr>
          <w:bCs/>
          <w:sz w:val="24"/>
          <w:szCs w:val="24"/>
        </w:rPr>
        <w:t>zácii a jednotlivých programov</w:t>
      </w:r>
      <w:r w:rsidRPr="00E606A6">
        <w:rPr>
          <w:bCs/>
          <w:sz w:val="24"/>
          <w:szCs w:val="24"/>
        </w:rPr>
        <w:t xml:space="preserve"> nie je v súčasnosti možné presné rozdelenie potenciálne alokovaných prostriedkov podľa štruktúry výdavkov.</w:t>
      </w:r>
    </w:p>
    <w:p w:rsidR="00A306B4" w:rsidRPr="00E606A6" w:rsidRDefault="00A306B4" w:rsidP="00A306B4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A306B4" w:rsidRPr="008E6D00" w:rsidRDefault="00A306B4" w:rsidP="00A306B4">
      <w:pPr>
        <w:tabs>
          <w:tab w:val="num" w:pos="1080"/>
        </w:tabs>
        <w:jc w:val="both"/>
        <w:rPr>
          <w:bCs/>
          <w:sz w:val="24"/>
        </w:rPr>
      </w:pPr>
      <w:r w:rsidRPr="008E6D00">
        <w:rPr>
          <w:bCs/>
          <w:sz w:val="24"/>
        </w:rPr>
        <w:t>Financie zabezpečené v rozpočte zahŕňajú už schválené každoročné výdavky vyplývajúce z existujúcich dotačných programov, financovanie nových aktivít príspevkových organizácií, ako aj spolufinancovanie štrukturálnych fondov zo štátneho rozpočtu a zdroje EÚ na financovanie projektov štrukturálnych fondov.</w:t>
      </w:r>
    </w:p>
    <w:p w:rsidR="00A306B4" w:rsidRPr="007D5748" w:rsidRDefault="00A306B4" w:rsidP="00A306B4">
      <w:pPr>
        <w:tabs>
          <w:tab w:val="num" w:pos="1080"/>
        </w:tabs>
        <w:jc w:val="both"/>
        <w:rPr>
          <w:bCs/>
          <w:sz w:val="24"/>
        </w:rPr>
      </w:pPr>
    </w:p>
    <w:p w:rsidR="00A306B4" w:rsidRDefault="00A306B4" w:rsidP="00A306B4">
      <w:pPr>
        <w:tabs>
          <w:tab w:val="num" w:pos="1080"/>
        </w:tabs>
        <w:jc w:val="both"/>
        <w:rPr>
          <w:bCs/>
          <w:sz w:val="24"/>
        </w:rPr>
      </w:pPr>
      <w:r>
        <w:rPr>
          <w:bCs/>
          <w:sz w:val="24"/>
        </w:rPr>
        <w:t>Presné v</w:t>
      </w:r>
      <w:r w:rsidRPr="008E6D00">
        <w:rPr>
          <w:bCs/>
          <w:sz w:val="24"/>
        </w:rPr>
        <w:t>ýdavky z rozpočtu VÚC, obcí a miest súvisiace s</w:t>
      </w:r>
      <w:r>
        <w:rPr>
          <w:bCs/>
          <w:sz w:val="24"/>
        </w:rPr>
        <w:t> financovaním opatrení energetickej efektívnosti v období 2017-2019</w:t>
      </w:r>
      <w:r w:rsidRPr="008E6D00">
        <w:rPr>
          <w:bCs/>
          <w:sz w:val="24"/>
        </w:rPr>
        <w:t>, resp. do roku 2020 nie je v súčasnosti možné vyčísliť, nakoľko MH SR takýmito údajmi nedisponuje.</w:t>
      </w:r>
      <w:r>
        <w:rPr>
          <w:bCs/>
          <w:sz w:val="24"/>
        </w:rPr>
        <w:t xml:space="preserve"> </w:t>
      </w:r>
      <w:r w:rsidRPr="008E6D00">
        <w:rPr>
          <w:bCs/>
          <w:sz w:val="24"/>
        </w:rPr>
        <w:t xml:space="preserve">Uvedené výdavky preto zahŕňajú predpokladané potrebné výdavky samospráv na realizáciu opatrení uvedených v </w:t>
      </w:r>
      <w:r>
        <w:rPr>
          <w:bCs/>
          <w:sz w:val="24"/>
        </w:rPr>
        <w:t>štvrtom</w:t>
      </w:r>
      <w:r w:rsidRPr="008E6D00">
        <w:rPr>
          <w:bCs/>
          <w:sz w:val="24"/>
        </w:rPr>
        <w:t xml:space="preserve"> akčnom plán</w:t>
      </w:r>
      <w:r>
        <w:rPr>
          <w:bCs/>
          <w:sz w:val="24"/>
        </w:rPr>
        <w:t>e na základe údajov poskytnutých SIEA a odhadnutých na základe predpokladanej intenzity podpory v rámci EŠIF.</w:t>
      </w:r>
      <w:r w:rsidRPr="008E6D00">
        <w:rPr>
          <w:bCs/>
          <w:sz w:val="24"/>
        </w:rPr>
        <w:t xml:space="preserve"> </w:t>
      </w:r>
    </w:p>
    <w:p w:rsidR="00A306B4" w:rsidRDefault="00A306B4" w:rsidP="00A306B4">
      <w:pPr>
        <w:tabs>
          <w:tab w:val="num" w:pos="1080"/>
        </w:tabs>
        <w:jc w:val="both"/>
        <w:rPr>
          <w:bCs/>
          <w:sz w:val="24"/>
        </w:rPr>
      </w:pPr>
    </w:p>
    <w:p w:rsidR="00A306B4" w:rsidRPr="003C5813" w:rsidRDefault="00A306B4" w:rsidP="00A306B4">
      <w:pPr>
        <w:tabs>
          <w:tab w:val="num" w:pos="1080"/>
        </w:tabs>
        <w:jc w:val="both"/>
        <w:rPr>
          <w:bCs/>
          <w:sz w:val="24"/>
          <w:u w:val="single"/>
        </w:rPr>
      </w:pPr>
      <w:r w:rsidRPr="003C5813">
        <w:rPr>
          <w:bCs/>
          <w:sz w:val="24"/>
          <w:u w:val="single"/>
        </w:rPr>
        <w:t>Príjmy</w:t>
      </w:r>
    </w:p>
    <w:p w:rsidR="00A306B4" w:rsidRPr="008E6D00" w:rsidRDefault="00A306B4" w:rsidP="00A306B4">
      <w:pPr>
        <w:tabs>
          <w:tab w:val="num" w:pos="1080"/>
        </w:tabs>
        <w:jc w:val="both"/>
        <w:rPr>
          <w:bCs/>
          <w:sz w:val="24"/>
        </w:rPr>
      </w:pPr>
      <w:r w:rsidRPr="003C5813">
        <w:rPr>
          <w:bCs/>
          <w:sz w:val="24"/>
        </w:rPr>
        <w:t xml:space="preserve">Príjmy zahŕňajú </w:t>
      </w:r>
      <w:r>
        <w:rPr>
          <w:bCs/>
          <w:sz w:val="24"/>
        </w:rPr>
        <w:t>najmä</w:t>
      </w:r>
      <w:r w:rsidRPr="003C5813">
        <w:rPr>
          <w:bCs/>
          <w:sz w:val="24"/>
        </w:rPr>
        <w:t xml:space="preserve"> príjmy zo zdrojov EÚ na financovanie projektov</w:t>
      </w:r>
      <w:r>
        <w:rPr>
          <w:bCs/>
          <w:sz w:val="24"/>
        </w:rPr>
        <w:t xml:space="preserve"> európskych </w:t>
      </w:r>
      <w:r w:rsidRPr="003C5813">
        <w:rPr>
          <w:bCs/>
          <w:sz w:val="24"/>
        </w:rPr>
        <w:t xml:space="preserve">štrukturálnych </w:t>
      </w:r>
      <w:r>
        <w:rPr>
          <w:bCs/>
          <w:sz w:val="24"/>
        </w:rPr>
        <w:t xml:space="preserve">a investičných fondov, resp. iných medzinárodných podporných mechanizmov, ktoré sú zdrojom ŠR, ako aj príjmy z daní z tovarov a služieb súvisiacich s realizáciou určitých opatrení energetickej efektívnosti. Príjmy </w:t>
      </w:r>
      <w:r w:rsidR="0033102C">
        <w:rPr>
          <w:bCs/>
          <w:sz w:val="24"/>
        </w:rPr>
        <w:t>môžu byť</w:t>
      </w:r>
      <w:r>
        <w:rPr>
          <w:bCs/>
          <w:sz w:val="24"/>
        </w:rPr>
        <w:t xml:space="preserve"> dodatočne aktualizované. </w:t>
      </w:r>
    </w:p>
    <w:p w:rsidR="00A306B4" w:rsidRDefault="00A306B4" w:rsidP="00A306B4">
      <w:pPr>
        <w:tabs>
          <w:tab w:val="num" w:pos="1080"/>
        </w:tabs>
        <w:jc w:val="both"/>
        <w:rPr>
          <w:bCs/>
          <w:sz w:val="24"/>
        </w:rPr>
      </w:pPr>
    </w:p>
    <w:p w:rsidR="0033102C" w:rsidRDefault="0033102C">
      <w:pPr>
        <w:spacing w:after="160" w:line="259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br w:type="page"/>
      </w:r>
    </w:p>
    <w:p w:rsidR="00A306B4" w:rsidRPr="00E606A6" w:rsidRDefault="00A306B4" w:rsidP="00A306B4">
      <w:pPr>
        <w:tabs>
          <w:tab w:val="num" w:pos="1080"/>
        </w:tabs>
        <w:jc w:val="both"/>
        <w:rPr>
          <w:bCs/>
          <w:sz w:val="24"/>
          <w:u w:val="single"/>
        </w:rPr>
      </w:pPr>
      <w:r w:rsidRPr="00E606A6">
        <w:rPr>
          <w:bCs/>
          <w:sz w:val="24"/>
          <w:u w:val="single"/>
        </w:rPr>
        <w:lastRenderedPageBreak/>
        <w:t xml:space="preserve">Zamestnanosť </w:t>
      </w:r>
    </w:p>
    <w:p w:rsidR="00A306B4" w:rsidRPr="00E606A6" w:rsidRDefault="00A306B4" w:rsidP="00A306B4">
      <w:pPr>
        <w:tabs>
          <w:tab w:val="num" w:pos="1080"/>
        </w:tabs>
        <w:jc w:val="both"/>
        <w:rPr>
          <w:bCs/>
          <w:sz w:val="24"/>
        </w:rPr>
        <w:sectPr w:rsidR="00A306B4" w:rsidRPr="00E606A6" w:rsidSect="007573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 w:rsidRPr="00E606A6">
        <w:rPr>
          <w:bCs/>
          <w:sz w:val="24"/>
        </w:rPr>
        <w:t>V súčasnosti nie je možné vyčísliť sumu mzdových výdavkov vo verejnej správe.</w:t>
      </w:r>
      <w:r>
        <w:rPr>
          <w:bCs/>
          <w:sz w:val="24"/>
        </w:rPr>
        <w:t xml:space="preserve"> Tieto boli/budú vyčíslené samostatne  pri schvaľovaní  konkrétnych programov a opatrení. </w:t>
      </w:r>
    </w:p>
    <w:p w:rsidR="00A306B4" w:rsidRPr="007D5748" w:rsidRDefault="00A306B4" w:rsidP="00A306B4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A306B4" w:rsidRPr="007D5748" w:rsidRDefault="00A306B4" w:rsidP="00A306B4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4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849"/>
        <w:gridCol w:w="1701"/>
        <w:gridCol w:w="2552"/>
        <w:gridCol w:w="3000"/>
      </w:tblGrid>
      <w:tr w:rsidR="00A306B4" w:rsidRPr="007D5748" w:rsidTr="007573A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Príjmy (v </w:t>
            </w:r>
            <w:r w:rsidR="00EE1A7A">
              <w:rPr>
                <w:b/>
                <w:bCs/>
                <w:sz w:val="24"/>
                <w:szCs w:val="24"/>
              </w:rPr>
              <w:t xml:space="preserve">tis. </w:t>
            </w:r>
            <w:r w:rsidRPr="007D5748">
              <w:rPr>
                <w:b/>
                <w:bCs/>
                <w:sz w:val="24"/>
                <w:szCs w:val="24"/>
              </w:rPr>
              <w:t>eu</w:t>
            </w:r>
            <w:r w:rsidR="00EE1A7A">
              <w:rPr>
                <w:b/>
                <w:bCs/>
                <w:sz w:val="24"/>
                <w:szCs w:val="24"/>
              </w:rPr>
              <w:t>r</w:t>
            </w:r>
            <w:r w:rsidRPr="007D574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  <w:r>
              <w:rPr>
                <w:b/>
                <w:bCs/>
                <w:sz w:val="24"/>
                <w:szCs w:val="24"/>
              </w:rPr>
              <w:t xml:space="preserve"> (tis. Eur)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A306B4" w:rsidRPr="007D5748" w:rsidTr="007573A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B4" w:rsidRPr="007D5748" w:rsidRDefault="00A306B4" w:rsidP="007573A1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6B4" w:rsidRPr="007D5748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B4" w:rsidRPr="007D5748" w:rsidRDefault="00A306B4" w:rsidP="007573A1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EE1A7A" w:rsidRPr="007D5748" w:rsidTr="007573A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A" w:rsidRPr="007D5748" w:rsidRDefault="00EE1A7A" w:rsidP="00EE1A7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128 000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148 755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193 546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A7A" w:rsidRPr="007D5748" w:rsidRDefault="00EE1A7A" w:rsidP="00EE1A7A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A306B4" w:rsidRPr="007D5748" w:rsidTr="0033102C">
        <w:trPr>
          <w:trHeight w:val="407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B4" w:rsidRPr="007D5748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6B4" w:rsidRPr="00EE1A7A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6B4" w:rsidRPr="00EE1A7A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E1A7A" w:rsidRPr="007D5748" w:rsidTr="0033102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A" w:rsidRPr="007D5748" w:rsidRDefault="00EE1A7A" w:rsidP="00EE1A7A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456 049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546 955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7A" w:rsidRPr="00EE1A7A" w:rsidRDefault="00EE1A7A" w:rsidP="0033102C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761 654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A7A" w:rsidRPr="007D5748" w:rsidRDefault="00EE1A7A" w:rsidP="00EE1A7A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A306B4" w:rsidRPr="007D5748" w:rsidTr="007573A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B4" w:rsidRPr="007D5748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A306B4" w:rsidRPr="007D5748" w:rsidTr="007573A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B4" w:rsidRPr="007D5748" w:rsidRDefault="00A306B4" w:rsidP="007573A1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6B4" w:rsidRPr="00EE1A7A" w:rsidRDefault="00A306B4" w:rsidP="007573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6B4" w:rsidRPr="007D5748" w:rsidRDefault="00A306B4" w:rsidP="007573A1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E1A7A" w:rsidRPr="007D5748" w:rsidTr="007573A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A7A" w:rsidRPr="007D5748" w:rsidRDefault="00EE1A7A" w:rsidP="00EE1A7A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584 049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695 709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A7A" w:rsidRPr="00EE1A7A" w:rsidRDefault="00EE1A7A" w:rsidP="00EE1A7A">
            <w:pPr>
              <w:jc w:val="right"/>
              <w:rPr>
                <w:b/>
                <w:bCs/>
                <w:sz w:val="24"/>
                <w:szCs w:val="24"/>
              </w:rPr>
            </w:pPr>
            <w:r w:rsidRPr="0033102C">
              <w:rPr>
                <w:sz w:val="24"/>
                <w:szCs w:val="24"/>
              </w:rPr>
              <w:t>955 200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E1A7A" w:rsidRPr="007D5748" w:rsidRDefault="00EE1A7A" w:rsidP="00EE1A7A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A306B4" w:rsidRPr="007D5748" w:rsidRDefault="00A306B4" w:rsidP="00A306B4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A306B4" w:rsidRPr="007D5748" w:rsidRDefault="00A306B4" w:rsidP="00A306B4">
      <w:pPr>
        <w:tabs>
          <w:tab w:val="num" w:pos="1080"/>
        </w:tabs>
        <w:jc w:val="both"/>
        <w:rPr>
          <w:bCs/>
          <w:sz w:val="24"/>
        </w:rPr>
      </w:pPr>
    </w:p>
    <w:p w:rsidR="00A306B4" w:rsidRPr="007D5748" w:rsidRDefault="00A306B4" w:rsidP="00A306B4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A306B4" w:rsidRPr="007D5748" w:rsidRDefault="00A306B4" w:rsidP="00A306B4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A306B4" w:rsidRDefault="00A306B4" w:rsidP="00A306B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06B4" w:rsidRDefault="00A306B4" w:rsidP="00A306B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06B4" w:rsidRPr="007D5748" w:rsidRDefault="00A306B4" w:rsidP="00A306B4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A306B4" w:rsidRDefault="00A306B4">
      <w:pPr>
        <w:spacing w:after="160" w:line="259" w:lineRule="auto"/>
      </w:pPr>
      <w:r>
        <w:br w:type="page"/>
      </w:r>
    </w:p>
    <w:p w:rsidR="00A306B4" w:rsidRDefault="00A306B4">
      <w:pPr>
        <w:spacing w:after="160" w:line="259" w:lineRule="auto"/>
        <w:sectPr w:rsidR="00A306B4" w:rsidSect="00A306B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C7B4D" w:rsidRDefault="007C7B4D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B4D" w:rsidRPr="00F04CCD" w:rsidTr="007573A1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7C7B4D" w:rsidRPr="00042C66" w:rsidRDefault="007C7B4D" w:rsidP="007573A1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7C7B4D" w:rsidRPr="00F04CCD" w:rsidRDefault="007C7B4D" w:rsidP="007573A1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7C7B4D" w:rsidRPr="00F04CCD" w:rsidTr="007573A1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7C7B4D" w:rsidRPr="00042C66" w:rsidRDefault="007C7B4D" w:rsidP="007573A1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7C7B4D" w:rsidRPr="00F04CCD" w:rsidTr="007573A1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08"/>
            </w:tblGrid>
            <w:tr w:rsidR="007C7B4D" w:rsidRPr="00F04CCD" w:rsidTr="007573A1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7C7B4D" w:rsidRPr="00F04CCD" w:rsidRDefault="007C7B4D" w:rsidP="007573A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C7B4D" w:rsidRPr="00F04CCD" w:rsidRDefault="007C7B4D" w:rsidP="007573A1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7C7B4D" w:rsidRPr="00F04CCD" w:rsidTr="007573A1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7C7B4D" w:rsidRPr="00F04CCD" w:rsidRDefault="007C7B4D" w:rsidP="007573A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C7B4D" w:rsidRPr="00F04CCD" w:rsidRDefault="007C7B4D" w:rsidP="007573A1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7C7B4D" w:rsidRPr="00F04CCD" w:rsidTr="007573A1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7C7B4D" w:rsidRPr="00F04CCD" w:rsidRDefault="007C7B4D" w:rsidP="007573A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C7B4D" w:rsidRPr="00F04CCD" w:rsidRDefault="007C7B4D" w:rsidP="007573A1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7C7B4D" w:rsidRPr="00F04CCD" w:rsidRDefault="007C7B4D" w:rsidP="007573A1">
            <w:pPr>
              <w:rPr>
                <w:b/>
              </w:rPr>
            </w:pPr>
          </w:p>
        </w:tc>
      </w:tr>
      <w:tr w:rsidR="007C7B4D" w:rsidRPr="00F04CCD" w:rsidTr="007573A1">
        <w:tc>
          <w:tcPr>
            <w:tcW w:w="9212" w:type="dxa"/>
            <w:shd w:val="clear" w:color="auto" w:fill="D9D9D9" w:themeFill="background1" w:themeFillShade="D9"/>
          </w:tcPr>
          <w:p w:rsidR="007C7B4D" w:rsidRPr="00042C66" w:rsidRDefault="007C7B4D" w:rsidP="007573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7C7B4D" w:rsidRPr="00F04CCD" w:rsidRDefault="007C7B4D" w:rsidP="007573A1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7C7B4D" w:rsidRPr="00F04CCD" w:rsidTr="007573A1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1E37D3">
            <w:pPr>
              <w:rPr>
                <w:i/>
              </w:rPr>
            </w:pPr>
            <w:r>
              <w:t>Ide o všetky podnikateľské subjekty (579 434 v roku 2016), a to najmä o subjekty pôsobiace v oblasti stavebníctva, v energetickom priemysle, v priemyselných odvetviach zameraných na výrobu stavebníckych materiálov, ako aj subjekty poskytujúce energetické služby.  Ich počet nie je možné určiť.</w:t>
            </w:r>
          </w:p>
        </w:tc>
      </w:tr>
      <w:tr w:rsidR="007C7B4D" w:rsidRPr="00F04CCD" w:rsidTr="007573A1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B4D" w:rsidRPr="00042C66" w:rsidRDefault="007C7B4D" w:rsidP="007573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7C7B4D" w:rsidRPr="00F04CCD" w:rsidRDefault="007C7B4D" w:rsidP="007573A1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7C7B4D" w:rsidRPr="00F04CCD" w:rsidTr="007573A1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7C7B4D" w:rsidRPr="000D2622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7C7B4D" w:rsidRPr="00F04CCD" w:rsidTr="007573A1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C7B4D" w:rsidRPr="00150665" w:rsidRDefault="007C7B4D" w:rsidP="007C7B4D">
            <w:pPr>
              <w:pStyle w:val="Odsekzoznamu"/>
              <w:numPr>
                <w:ilvl w:val="0"/>
                <w:numId w:val="5"/>
              </w:numPr>
              <w:rPr>
                <w:i/>
              </w:rPr>
            </w:pPr>
          </w:p>
        </w:tc>
      </w:tr>
      <w:tr w:rsidR="007C7B4D" w:rsidRPr="00F04CCD" w:rsidTr="007573A1">
        <w:tc>
          <w:tcPr>
            <w:tcW w:w="9212" w:type="dxa"/>
            <w:shd w:val="clear" w:color="auto" w:fill="D9D9D9" w:themeFill="background1" w:themeFillShade="D9"/>
          </w:tcPr>
          <w:p w:rsidR="007C7B4D" w:rsidRPr="00042C66" w:rsidRDefault="007C7B4D" w:rsidP="007573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7C7B4D" w:rsidRPr="00F04CCD" w:rsidRDefault="007C7B4D" w:rsidP="007573A1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150665" w:rsidRDefault="007C7B4D" w:rsidP="007573A1">
            <w:r w:rsidRPr="00150665">
              <w:t xml:space="preserve">Návrh akčného plánu ako taký nepožaduje od podnikateľských subjektov žiadne dodatočné náklady. </w:t>
            </w:r>
          </w:p>
          <w:p w:rsidR="007C7B4D" w:rsidRPr="00150665" w:rsidRDefault="007C7B4D" w:rsidP="007573A1">
            <w:pPr>
              <w:rPr>
                <w:b/>
              </w:rPr>
            </w:pPr>
            <w:r w:rsidRPr="00150665">
              <w:t xml:space="preserve">Podnikateľské subjekty, ktoré investujú do opatrení energetickej efektívnosti, môžu takto znížiť svoje prevádzkové náklady, čo môže mať pozitívny vplyv na ich konkurencieschopnosť. </w:t>
            </w:r>
          </w:p>
          <w:p w:rsidR="007C7B4D" w:rsidRPr="00150665" w:rsidRDefault="007C7B4D" w:rsidP="007573A1">
            <w:pPr>
              <w:rPr>
                <w:b/>
              </w:rPr>
            </w:pPr>
          </w:p>
          <w:p w:rsidR="007C7B4D" w:rsidRPr="00F04CCD" w:rsidRDefault="007C7B4D" w:rsidP="007573A1">
            <w:pPr>
              <w:rPr>
                <w:b/>
                <w:i/>
              </w:rPr>
            </w:pPr>
          </w:p>
          <w:p w:rsidR="007C7B4D" w:rsidRPr="00F04CCD" w:rsidRDefault="007C7B4D" w:rsidP="007573A1">
            <w:pPr>
              <w:rPr>
                <w:b/>
                <w:i/>
              </w:rPr>
            </w:pP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150665" w:rsidRDefault="007C7B4D" w:rsidP="007573A1">
            <w:r w:rsidRPr="00150665">
              <w:t xml:space="preserve">Návrh akčného plánu ako taký nepožaduje od podnikateľských subjektov žiadne dodatočné náklady. </w:t>
            </w:r>
          </w:p>
          <w:p w:rsidR="007C7B4D" w:rsidRPr="00150665" w:rsidRDefault="007C7B4D" w:rsidP="007573A1">
            <w:pPr>
              <w:rPr>
                <w:b/>
              </w:rPr>
            </w:pPr>
          </w:p>
          <w:p w:rsidR="007C7B4D" w:rsidRPr="00150665" w:rsidRDefault="007C7B4D" w:rsidP="007573A1">
            <w:pPr>
              <w:rPr>
                <w:b/>
              </w:rPr>
            </w:pPr>
          </w:p>
          <w:p w:rsidR="007C7B4D" w:rsidRPr="00F04CCD" w:rsidRDefault="007C7B4D" w:rsidP="007573A1">
            <w:pPr>
              <w:rPr>
                <w:b/>
                <w:i/>
              </w:rPr>
            </w:pPr>
          </w:p>
          <w:p w:rsidR="007C7B4D" w:rsidRPr="00F04CCD" w:rsidRDefault="007C7B4D" w:rsidP="007573A1">
            <w:pPr>
              <w:rPr>
                <w:b/>
                <w:i/>
              </w:rPr>
            </w:pP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150665" w:rsidRDefault="007C7B4D" w:rsidP="007573A1">
            <w:r w:rsidRPr="00150665">
              <w:t xml:space="preserve">Nie. </w:t>
            </w:r>
          </w:p>
          <w:p w:rsidR="007C7B4D" w:rsidRPr="00150665" w:rsidRDefault="007C7B4D" w:rsidP="007573A1">
            <w:pPr>
              <w:rPr>
                <w:b/>
              </w:rPr>
            </w:pPr>
          </w:p>
          <w:p w:rsidR="007C7B4D" w:rsidRPr="00150665" w:rsidRDefault="007C7B4D" w:rsidP="007573A1">
            <w:pPr>
              <w:rPr>
                <w:b/>
              </w:rPr>
            </w:pPr>
          </w:p>
          <w:p w:rsidR="007C7B4D" w:rsidRPr="00F04CCD" w:rsidRDefault="007C7B4D" w:rsidP="007573A1">
            <w:pPr>
              <w:rPr>
                <w:b/>
                <w:i/>
              </w:rPr>
            </w:pPr>
          </w:p>
          <w:p w:rsidR="007C7B4D" w:rsidRPr="00F04CCD" w:rsidRDefault="007C7B4D" w:rsidP="007573A1">
            <w:pPr>
              <w:rPr>
                <w:b/>
                <w:i/>
              </w:rPr>
            </w:pPr>
          </w:p>
        </w:tc>
      </w:tr>
      <w:tr w:rsidR="007C7B4D" w:rsidRPr="00F04CCD" w:rsidTr="007573A1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7C7B4D" w:rsidRPr="00F04CCD" w:rsidRDefault="007C7B4D" w:rsidP="007573A1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0"/>
              <w:gridCol w:w="2945"/>
            </w:tblGrid>
            <w:tr w:rsidR="007C7B4D" w:rsidRPr="00F04CCD" w:rsidTr="007573A1">
              <w:tc>
                <w:tcPr>
                  <w:tcW w:w="2993" w:type="dxa"/>
                </w:tcPr>
                <w:p w:rsidR="007C7B4D" w:rsidRPr="00F04CCD" w:rsidRDefault="007C7B4D" w:rsidP="007573A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7C7B4D" w:rsidRPr="00F04CCD" w:rsidTr="007573A1">
              <w:tc>
                <w:tcPr>
                  <w:tcW w:w="2993" w:type="dxa"/>
                </w:tcPr>
                <w:p w:rsidR="007C7B4D" w:rsidRPr="00F04CCD" w:rsidRDefault="007C7B4D" w:rsidP="007573A1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C7B4D" w:rsidRPr="00F04CCD" w:rsidTr="007573A1">
              <w:tc>
                <w:tcPr>
                  <w:tcW w:w="2993" w:type="dxa"/>
                </w:tcPr>
                <w:p w:rsidR="007C7B4D" w:rsidRPr="00F04CCD" w:rsidRDefault="007C7B4D" w:rsidP="007573A1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C7B4D" w:rsidRPr="00F04CCD" w:rsidTr="007573A1">
              <w:tc>
                <w:tcPr>
                  <w:tcW w:w="2993" w:type="dxa"/>
                </w:tcPr>
                <w:p w:rsidR="007C7B4D" w:rsidRPr="00F04CCD" w:rsidRDefault="007C7B4D" w:rsidP="007573A1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C7B4D" w:rsidRPr="00F04CCD" w:rsidTr="007573A1">
              <w:tc>
                <w:tcPr>
                  <w:tcW w:w="2993" w:type="dxa"/>
                </w:tcPr>
                <w:p w:rsidR="007C7B4D" w:rsidRPr="00F04CCD" w:rsidRDefault="007C7B4D" w:rsidP="007573A1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C7B4D" w:rsidRPr="00F04CCD" w:rsidRDefault="007C7B4D" w:rsidP="007573A1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7C7B4D" w:rsidRPr="00F04CCD" w:rsidRDefault="007C7B4D" w:rsidP="007573A1">
            <w:pPr>
              <w:rPr>
                <w:i/>
              </w:rPr>
            </w:pPr>
          </w:p>
        </w:tc>
      </w:tr>
      <w:tr w:rsidR="007C7B4D" w:rsidRPr="00F04CCD" w:rsidTr="007573A1">
        <w:tc>
          <w:tcPr>
            <w:tcW w:w="9212" w:type="dxa"/>
            <w:shd w:val="clear" w:color="auto" w:fill="D9D9D9" w:themeFill="background1" w:themeFillShade="D9"/>
          </w:tcPr>
          <w:p w:rsidR="007C7B4D" w:rsidRPr="00042C66" w:rsidRDefault="007C7B4D" w:rsidP="007573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7C7B4D" w:rsidRPr="00F04CCD" w:rsidRDefault="007C7B4D" w:rsidP="007573A1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7C7B4D" w:rsidRPr="00F04CCD" w:rsidTr="007573A1">
        <w:tc>
          <w:tcPr>
            <w:tcW w:w="9212" w:type="dxa"/>
            <w:tcBorders>
              <w:bottom w:val="single" w:sz="4" w:space="0" w:color="auto"/>
            </w:tcBorders>
          </w:tcPr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7C7B4D" w:rsidRPr="00F04CCD" w:rsidTr="007573A1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7C7B4D" w:rsidRPr="00150665" w:rsidRDefault="007C7B4D" w:rsidP="007573A1">
            <w:r w:rsidRPr="00150665">
              <w:t>-</w:t>
            </w:r>
          </w:p>
        </w:tc>
      </w:tr>
      <w:tr w:rsidR="007C7B4D" w:rsidRPr="00F04CCD" w:rsidTr="007573A1">
        <w:tc>
          <w:tcPr>
            <w:tcW w:w="9212" w:type="dxa"/>
            <w:shd w:val="clear" w:color="auto" w:fill="D9D9D9" w:themeFill="background1" w:themeFillShade="D9"/>
          </w:tcPr>
          <w:p w:rsidR="007C7B4D" w:rsidRPr="00042C66" w:rsidRDefault="007C7B4D" w:rsidP="007573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7C7B4D" w:rsidRPr="00F04CCD" w:rsidRDefault="007C7B4D" w:rsidP="007573A1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7C7B4D" w:rsidRPr="00F04CCD" w:rsidTr="007573A1">
        <w:tc>
          <w:tcPr>
            <w:tcW w:w="9212" w:type="dxa"/>
          </w:tcPr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7C7B4D" w:rsidRPr="00F04CC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7C7B4D" w:rsidRDefault="007C7B4D" w:rsidP="007573A1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7C7B4D" w:rsidRPr="00F04CCD" w:rsidRDefault="007C7B4D" w:rsidP="007573A1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7C7B4D" w:rsidRPr="00F04CCD" w:rsidTr="007573A1">
        <w:trPr>
          <w:trHeight w:val="1747"/>
        </w:trPr>
        <w:tc>
          <w:tcPr>
            <w:tcW w:w="9212" w:type="dxa"/>
          </w:tcPr>
          <w:p w:rsidR="007C7B4D" w:rsidRPr="00150665" w:rsidRDefault="007C7B4D" w:rsidP="007573A1">
            <w:r w:rsidRPr="00150665">
              <w:t xml:space="preserve">Návrh akčného plánu obsahuje aj opatrenia, ktoré sú zamerané na inovácie, konkrétne opatrenie č. 5.1.3 Inovácie a technologické transfery v priemyselných podnikoch, pri ktorých sa plánuje financovanie zo zdrojov OP </w:t>
            </w:r>
            <w:proofErr w:type="spellStart"/>
            <w:r w:rsidRPr="00150665">
              <w:t>VaI</w:t>
            </w:r>
            <w:proofErr w:type="spellEnd"/>
            <w:r w:rsidRPr="00150665">
              <w:t xml:space="preserve"> (2014-2020). </w:t>
            </w:r>
          </w:p>
          <w:p w:rsidR="007C7B4D" w:rsidRPr="00F04CCD" w:rsidRDefault="007C7B4D" w:rsidP="007573A1">
            <w:pPr>
              <w:rPr>
                <w:i/>
              </w:rPr>
            </w:pPr>
          </w:p>
        </w:tc>
      </w:tr>
    </w:tbl>
    <w:p w:rsidR="007C7B4D" w:rsidRPr="00F04CCD" w:rsidRDefault="007C7B4D" w:rsidP="007C7B4D"/>
    <w:p w:rsidR="007C7B4D" w:rsidRDefault="007C7B4D" w:rsidP="007C7B4D"/>
    <w:p w:rsidR="007C7B4D" w:rsidRDefault="007C7B4D" w:rsidP="007C7B4D"/>
    <w:p w:rsidR="007C7B4D" w:rsidRDefault="007C7B4D" w:rsidP="007C7B4D"/>
    <w:p w:rsidR="007C7B4D" w:rsidRDefault="007C7B4D" w:rsidP="007C7B4D"/>
    <w:p w:rsidR="007C7B4D" w:rsidRDefault="007C7B4D" w:rsidP="007C7B4D"/>
    <w:p w:rsidR="007C7B4D" w:rsidRDefault="007C7B4D" w:rsidP="007C7B4D"/>
    <w:p w:rsidR="007C7B4D" w:rsidRDefault="007C7B4D" w:rsidP="007C7B4D"/>
    <w:p w:rsidR="007C7B4D" w:rsidRDefault="007C7B4D" w:rsidP="007C7B4D">
      <w:pPr>
        <w:rPr>
          <w:b/>
          <w:sz w:val="24"/>
        </w:rPr>
      </w:pPr>
      <w:r>
        <w:rPr>
          <w:b/>
          <w:sz w:val="24"/>
        </w:rPr>
        <w:br w:type="page"/>
      </w:r>
    </w:p>
    <w:p w:rsidR="00AA092E" w:rsidRDefault="00AA092E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092E" w:rsidRPr="002E32C0" w:rsidTr="007573A1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AA092E" w:rsidRPr="002E32C0" w:rsidRDefault="00AA092E" w:rsidP="007573A1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AA092E" w:rsidRPr="002E32C0" w:rsidTr="007573A1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AA092E" w:rsidRPr="002E32C0" w:rsidRDefault="00AA092E" w:rsidP="007573A1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AA092E" w:rsidRPr="002E32C0" w:rsidTr="007573A1">
        <w:trPr>
          <w:trHeight w:val="995"/>
        </w:trPr>
        <w:tc>
          <w:tcPr>
            <w:tcW w:w="9212" w:type="dxa"/>
            <w:vAlign w:val="bottom"/>
          </w:tcPr>
          <w:p w:rsidR="00AA092E" w:rsidRPr="00104B0D" w:rsidRDefault="00AA092E" w:rsidP="007573A1">
            <w:pPr>
              <w:jc w:val="both"/>
            </w:pPr>
            <w:r w:rsidRPr="004D0B93">
              <w:rPr>
                <w:sz w:val="24"/>
              </w:rPr>
              <w:t>Opatrenia obsiahnuté v materiáli  budú mať pozitívny vplyv na kvalitu ovzdušia. Realizáciou plánovaných opatrení sa zníži produkcia emisií CO</w:t>
            </w:r>
            <w:r w:rsidRPr="004D0B93">
              <w:rPr>
                <w:sz w:val="24"/>
                <w:vertAlign w:val="subscript"/>
              </w:rPr>
              <w:t>2</w:t>
            </w:r>
            <w:r w:rsidRPr="004D0B93">
              <w:rPr>
                <w:sz w:val="24"/>
              </w:rPr>
              <w:t xml:space="preserve">. </w:t>
            </w:r>
          </w:p>
        </w:tc>
      </w:tr>
      <w:tr w:rsidR="00AA092E" w:rsidRPr="002E32C0" w:rsidTr="007573A1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AA092E" w:rsidRPr="002E32C0" w:rsidRDefault="00AA092E" w:rsidP="007573A1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AA092E" w:rsidRPr="002E32C0" w:rsidTr="007573A1">
        <w:trPr>
          <w:trHeight w:val="987"/>
        </w:trPr>
        <w:tc>
          <w:tcPr>
            <w:tcW w:w="9212" w:type="dxa"/>
          </w:tcPr>
          <w:p w:rsidR="00AA092E" w:rsidRPr="004D0B93" w:rsidRDefault="00AA092E" w:rsidP="007573A1">
            <w:pPr>
              <w:jc w:val="both"/>
              <w:rPr>
                <w:sz w:val="24"/>
                <w:szCs w:val="24"/>
              </w:rPr>
            </w:pPr>
            <w:r w:rsidRPr="004D0B93">
              <w:rPr>
                <w:sz w:val="24"/>
                <w:szCs w:val="24"/>
              </w:rPr>
              <w:t>Nie.</w:t>
            </w:r>
          </w:p>
        </w:tc>
      </w:tr>
      <w:tr w:rsidR="00AA092E" w:rsidRPr="002E32C0" w:rsidTr="007573A1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AA092E" w:rsidRPr="002E32C0" w:rsidRDefault="00AA092E" w:rsidP="007573A1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AA092E" w:rsidRPr="002E32C0" w:rsidTr="007573A1">
        <w:trPr>
          <w:trHeight w:val="969"/>
        </w:trPr>
        <w:tc>
          <w:tcPr>
            <w:tcW w:w="9212" w:type="dxa"/>
          </w:tcPr>
          <w:p w:rsidR="00AA092E" w:rsidRPr="002E32C0" w:rsidRDefault="00AA092E" w:rsidP="007573A1">
            <w:pPr>
              <w:jc w:val="both"/>
              <w:rPr>
                <w:b/>
                <w:sz w:val="24"/>
                <w:szCs w:val="24"/>
              </w:rPr>
            </w:pPr>
            <w:r w:rsidRPr="004D0B93">
              <w:rPr>
                <w:sz w:val="24"/>
              </w:rPr>
              <w:t>Áno, prispieva k znižovaniu produkcie skleníkových plynov, a teda k ochrane klímy.</w:t>
            </w:r>
          </w:p>
        </w:tc>
      </w:tr>
      <w:tr w:rsidR="00AA092E" w:rsidRPr="002E32C0" w:rsidTr="007573A1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AA092E" w:rsidRPr="002E32C0" w:rsidRDefault="00AA092E" w:rsidP="007573A1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AA092E" w:rsidRPr="002E32C0" w:rsidTr="007573A1">
        <w:trPr>
          <w:trHeight w:val="979"/>
        </w:trPr>
        <w:tc>
          <w:tcPr>
            <w:tcW w:w="9212" w:type="dxa"/>
            <w:shd w:val="clear" w:color="auto" w:fill="FFFFFF"/>
          </w:tcPr>
          <w:p w:rsidR="00AA092E" w:rsidRPr="002E32C0" w:rsidRDefault="00AA092E" w:rsidP="007573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A092E" w:rsidRPr="002E32C0" w:rsidRDefault="00AA092E" w:rsidP="00AA092E">
      <w:pPr>
        <w:jc w:val="center"/>
        <w:rPr>
          <w:b/>
          <w:bCs/>
          <w:sz w:val="28"/>
          <w:szCs w:val="28"/>
        </w:rPr>
      </w:pPr>
    </w:p>
    <w:p w:rsidR="00490790" w:rsidRDefault="00490790" w:rsidP="00AA092E"/>
    <w:p w:rsidR="00B31E96" w:rsidRDefault="00B31E96">
      <w:pPr>
        <w:spacing w:after="160" w:line="259" w:lineRule="auto"/>
      </w:pPr>
    </w:p>
    <w:p w:rsidR="00B31E96" w:rsidRDefault="00B31E96">
      <w:pPr>
        <w:spacing w:after="160" w:line="259" w:lineRule="auto"/>
      </w:pPr>
    </w:p>
    <w:p w:rsidR="00B31E96" w:rsidRDefault="00B31E96">
      <w:pPr>
        <w:spacing w:after="160" w:line="259" w:lineRule="auto"/>
      </w:pPr>
      <w:r>
        <w:br w:type="page"/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E96" w:rsidRDefault="00B31E96">
            <w:pPr>
              <w:ind w:left="-284" w:firstLine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lastRenderedPageBreak/>
              <w:t>Analýza sociálnych vplyvov</w:t>
            </w:r>
          </w:p>
          <w:p w:rsidR="00B31E96" w:rsidRDefault="00B31E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B31E96" w:rsidTr="00B31E9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31E96" w:rsidRDefault="00B31E96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</w:rPr>
              <w:t xml:space="preserve">4.1 </w:t>
            </w:r>
            <w:r>
              <w:rPr>
                <w:rFonts w:eastAsia="Calibri"/>
                <w:b/>
                <w:sz w:val="24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B31E96" w:rsidRDefault="00B31E96" w:rsidP="00B31E96">
      <w:pPr>
        <w:rPr>
          <w:rFonts w:eastAsia="Calibri"/>
          <w:i/>
        </w:rPr>
        <w:sectPr w:rsidR="00B31E96"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shd w:val="clear" w:color="auto" w:fill="F2F2F2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 xml:space="preserve">Vedie návrh k zvýšeniu alebo zníženiu príjmov alebo výdavkov domácností? </w:t>
            </w:r>
          </w:p>
          <w:p w:rsidR="00B31E96" w:rsidRDefault="00B31E96">
            <w:pPr>
              <w:shd w:val="clear" w:color="auto" w:fill="F2F2F2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Ktoré skupiny domácností/obyvateľstva sú takto ovplyvnené a akým spôsobom? </w:t>
            </w:r>
          </w:p>
          <w:p w:rsidR="00B31E96" w:rsidRDefault="00B31E96">
            <w:pPr>
              <w:shd w:val="clear" w:color="auto" w:fill="F2F2F2"/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</w:rPr>
              <w:t>Sú medzi potenciálne ovplyvnenými skupinami skupiny v riziku chudoby alebo sociálneho vylúčenia?</w:t>
            </w:r>
          </w:p>
        </w:tc>
      </w:tr>
    </w:tbl>
    <w:p w:rsidR="00B31E96" w:rsidRDefault="00B31E96" w:rsidP="00B31E96">
      <w:pPr>
        <w:rPr>
          <w:rFonts w:eastAsia="Calibri"/>
          <w:i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5779DB" w:rsidTr="00B31E96"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79DB" w:rsidRDefault="005779DB" w:rsidP="005779DB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 xml:space="preserve">Popíšte </w:t>
            </w:r>
            <w:r>
              <w:rPr>
                <w:rFonts w:eastAsia="Calibri"/>
                <w:b/>
                <w:i/>
              </w:rPr>
              <w:t>pozitívny</w:t>
            </w:r>
            <w:r>
              <w:rPr>
                <w:rFonts w:eastAsia="Calibri"/>
                <w:i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Opatrenia energetickej efektívnosti môžu viesť k zníženiu nákladov domácností na energiu. </w:t>
            </w:r>
          </w:p>
        </w:tc>
      </w:tr>
      <w:tr w:rsidR="005779DB" w:rsidTr="00B31E96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B" w:rsidRDefault="005779DB" w:rsidP="005779DB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Špecifikujte </w:t>
            </w:r>
            <w:r>
              <w:rPr>
                <w:rFonts w:eastAsia="Calibri"/>
                <w:b/>
                <w:i/>
              </w:rPr>
              <w:t>pozitívne</w:t>
            </w:r>
            <w:r>
              <w:rPr>
                <w:rFonts w:eastAsia="Calibri"/>
                <w:i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>Všetky domácnosti, ktoré vykonajú opatrenia energetickej efektívnosti (zateplenie domu, výmena okien, obmena spotrebičov, svietidiel) a i.</w:t>
            </w:r>
          </w:p>
        </w:tc>
      </w:tr>
      <w:tr w:rsidR="005779DB" w:rsidTr="00B31E96"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79DB" w:rsidRDefault="005779DB" w:rsidP="005779DB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Popíšte </w:t>
            </w:r>
            <w:r>
              <w:rPr>
                <w:rFonts w:eastAsia="Calibri"/>
                <w:b/>
                <w:i/>
              </w:rPr>
              <w:t xml:space="preserve">negatívny </w:t>
            </w:r>
            <w:r>
              <w:rPr>
                <w:rFonts w:eastAsia="Calibri"/>
                <w:i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rPr>
                <w:rFonts w:eastAsia="Calibri"/>
              </w:rPr>
            </w:pPr>
          </w:p>
        </w:tc>
      </w:tr>
      <w:tr w:rsidR="005779DB" w:rsidTr="00B31E96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B" w:rsidRDefault="005779DB" w:rsidP="005779DB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Špecifikujte </w:t>
            </w:r>
            <w:r>
              <w:rPr>
                <w:rFonts w:eastAsia="Calibri"/>
                <w:b/>
                <w:i/>
              </w:rPr>
              <w:t>negatívne</w:t>
            </w:r>
            <w:r>
              <w:rPr>
                <w:rFonts w:eastAsia="Calibri"/>
                <w:i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rPr>
                <w:rFonts w:eastAsia="Calibri"/>
              </w:rPr>
            </w:pPr>
          </w:p>
        </w:tc>
      </w:tr>
      <w:tr w:rsidR="00B31E96" w:rsidTr="00B31E96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Špecifikujte ovplyvnené skupiny </w:t>
            </w:r>
            <w:r>
              <w:rPr>
                <w:rFonts w:eastAsia="Calibri"/>
                <w:b/>
                <w:i/>
              </w:rPr>
              <w:t>v riziku chudoby alebo sociálneho vylúčenia</w:t>
            </w:r>
            <w:r>
              <w:rPr>
                <w:rFonts w:eastAsia="Calibri"/>
                <w:i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E96" w:rsidRDefault="00B31E96">
            <w:pPr>
              <w:rPr>
                <w:rFonts w:eastAsia="Calibri"/>
              </w:rPr>
            </w:pPr>
          </w:p>
        </w:tc>
      </w:tr>
    </w:tbl>
    <w:p w:rsidR="00B31E96" w:rsidRDefault="00B31E96" w:rsidP="00B31E96">
      <w:pPr>
        <w:rPr>
          <w:rFonts w:eastAsia="Calibri"/>
          <w:i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1E96" w:rsidRDefault="00B31E96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B31E96" w:rsidRDefault="00B31E96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V prípade vyššieho počtu ovplyvnených skupín doplňte do tabuľky ďalšie riadky.</w:t>
            </w:r>
          </w:p>
          <w:p w:rsidR="00B31E96" w:rsidRDefault="00B31E96">
            <w:pPr>
              <w:tabs>
                <w:tab w:val="left" w:pos="3505"/>
              </w:tabs>
              <w:rPr>
                <w:rFonts w:eastAsia="Calibri"/>
              </w:rPr>
            </w:pPr>
            <w:r>
              <w:rPr>
                <w:rFonts w:eastAsia="Calibri"/>
                <w:i/>
              </w:rPr>
              <w:t>V prípade, ak neuvádzate kvantifikáciu, uveďte dôvod.</w:t>
            </w:r>
          </w:p>
        </w:tc>
      </w:tr>
    </w:tbl>
    <w:p w:rsidR="00B31E96" w:rsidRDefault="00B31E96" w:rsidP="00B31E96">
      <w:pPr>
        <w:rPr>
          <w:rFonts w:eastAsia="Calibri"/>
          <w:b/>
          <w:i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B31E96" w:rsidTr="00B31E96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6" w:rsidRDefault="00B31E96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>Ovplyvnená skupina č. 1:</w:t>
            </w:r>
          </w:p>
        </w:tc>
      </w:tr>
      <w:tr w:rsidR="00B31E96" w:rsidTr="00B31E96"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B31E96" w:rsidRDefault="00B31E96">
            <w:pPr>
              <w:jc w:val="both"/>
              <w:rPr>
                <w:rFonts w:eastAsia="Calibri"/>
              </w:rPr>
            </w:pPr>
          </w:p>
        </w:tc>
      </w:tr>
      <w:tr w:rsidR="00B31E96" w:rsidTr="00B31E96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B31E96" w:rsidRDefault="00B31E96">
            <w:pPr>
              <w:jc w:val="both"/>
              <w:rPr>
                <w:rFonts w:eastAsia="Calibri"/>
              </w:rPr>
            </w:pPr>
          </w:p>
        </w:tc>
      </w:tr>
      <w:tr w:rsidR="00B31E96" w:rsidTr="00B31E96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6" w:rsidRDefault="00B31E96">
            <w:pPr>
              <w:jc w:val="both"/>
              <w:rPr>
                <w:rFonts w:eastAsia="Calibri"/>
              </w:rPr>
            </w:pPr>
          </w:p>
        </w:tc>
      </w:tr>
      <w:tr w:rsidR="00B31E96" w:rsidTr="00B31E96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6" w:rsidRDefault="00B31E96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t>Ovplyvnená skupina č. 2:</w:t>
            </w:r>
          </w:p>
        </w:tc>
      </w:tr>
      <w:tr w:rsidR="00B31E96" w:rsidTr="00B31E96"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B31E96" w:rsidRDefault="00B31E96">
            <w:pPr>
              <w:jc w:val="both"/>
              <w:rPr>
                <w:rFonts w:eastAsia="Calibri"/>
              </w:rPr>
            </w:pPr>
          </w:p>
        </w:tc>
      </w:tr>
      <w:tr w:rsidR="00B31E96" w:rsidTr="00B31E96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B31E96" w:rsidRDefault="00B31E96">
            <w:pPr>
              <w:jc w:val="both"/>
              <w:rPr>
                <w:rFonts w:eastAsia="Calibri"/>
              </w:rPr>
            </w:pPr>
          </w:p>
        </w:tc>
      </w:tr>
      <w:tr w:rsidR="00B31E96" w:rsidTr="00B31E96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6" w:rsidRDefault="00B31E96">
            <w:pPr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6" w:rsidRDefault="00B31E96">
            <w:pPr>
              <w:jc w:val="both"/>
              <w:rPr>
                <w:rFonts w:eastAsia="Calibri"/>
              </w:rPr>
            </w:pPr>
          </w:p>
        </w:tc>
      </w:tr>
      <w:tr w:rsidR="005779DB" w:rsidTr="00B31E96"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B" w:rsidRDefault="005779DB" w:rsidP="005779DB">
            <w:pPr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Vplyv opatrení nie je možné kvantifikovať, nakoľko nie sú k dispozícii údaje o spotrebe všetkých domácností a o všetkých vykonaných opatreniach energetickej efektívnosti.</w:t>
            </w:r>
          </w:p>
        </w:tc>
      </w:tr>
      <w:tr w:rsidR="005779DB" w:rsidTr="00B31E96"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B" w:rsidRDefault="005779DB" w:rsidP="005779D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Nie je možné kvantifikovať z dôvodu popísaného vyššie. </w:t>
            </w:r>
          </w:p>
        </w:tc>
      </w:tr>
    </w:tbl>
    <w:p w:rsidR="00B31E96" w:rsidRDefault="00B31E96" w:rsidP="00B31E96">
      <w:pPr>
        <w:rPr>
          <w:rFonts w:eastAsiaTheme="minorHAnsi"/>
          <w:lang w:eastAsia="en-US"/>
        </w:rPr>
      </w:pPr>
    </w:p>
    <w:p w:rsidR="00B31E96" w:rsidRDefault="00B31E96" w:rsidP="00B31E96">
      <w:pPr>
        <w:rPr>
          <w:rFonts w:eastAsia="Calibri"/>
          <w:b/>
          <w:sz w:val="24"/>
          <w:szCs w:val="24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E96" w:rsidRDefault="00B31E9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B31E96" w:rsidTr="00B31E96"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jc w:val="both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Má návrh vplyv na prístup k zdrojom, právam, tovarom a službám? </w:t>
            </w:r>
          </w:p>
          <w:p w:rsidR="00B31E96" w:rsidRDefault="00B31E96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B31E96" w:rsidRDefault="00B31E96" w:rsidP="00B31E96">
      <w:pPr>
        <w:rPr>
          <w:rFonts w:eastAsia="Calibri"/>
          <w:i/>
          <w:sz w:val="18"/>
          <w:szCs w:val="18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B31E96" w:rsidTr="00B31E96">
        <w:trPr>
          <w:trHeight w:val="55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E96" w:rsidRDefault="00B31E96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Rozumie sa najmä na prístup k: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informáciám</w:t>
            </w:r>
          </w:p>
          <w:p w:rsidR="00B31E96" w:rsidRDefault="00B31E96" w:rsidP="00B31E96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/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DB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Samotný návrh akčného plánu nemá vplyvy na prístup k zdrojom, právam a i., avšak realizované opatrenia energetickej efektívnosti v oblasti obnovy budov môžu mať vplyv vo forme zlepšenia zdravotného stavu, ako aj produktivity (u zamestnancov pracujúcich v obnovených budovách). </w:t>
            </w:r>
          </w:p>
          <w:p w:rsidR="00B31E96" w:rsidRDefault="00B31E96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</w:tc>
      </w:tr>
    </w:tbl>
    <w:p w:rsidR="00B31E96" w:rsidRDefault="00B31E96" w:rsidP="00B31E96">
      <w:pPr>
        <w:rPr>
          <w:rFonts w:eastAsia="Calibri"/>
          <w:i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B31E96" w:rsidRDefault="00B31E96">
            <w:pPr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eastAsia="Calibri"/>
                <w:i/>
              </w:rPr>
              <w:t xml:space="preserve">Špecifikujte ovplyvnené skupiny v riziku chudoby a sociálneho vylúčenia a popíšte vplyv na </w:t>
            </w:r>
            <w:proofErr w:type="spellStart"/>
            <w:r>
              <w:rPr>
                <w:rFonts w:eastAsia="Calibri"/>
                <w:i/>
              </w:rPr>
              <w:t>ne</w:t>
            </w:r>
            <w:proofErr w:type="spellEnd"/>
            <w:r>
              <w:rPr>
                <w:rFonts w:eastAsia="Calibri"/>
                <w:i/>
              </w:rPr>
              <w:t>. Je tento vplyv väčší ako vplyv na iné skupiny či subjekty? Uveďte veľkosť jednotlivých ovplyvnených skupín.</w:t>
            </w:r>
          </w:p>
        </w:tc>
      </w:tr>
    </w:tbl>
    <w:p w:rsidR="00B31E96" w:rsidRDefault="00B31E96" w:rsidP="00B31E96">
      <w:pPr>
        <w:rPr>
          <w:rFonts w:eastAsia="Calibri"/>
          <w:i/>
          <w:sz w:val="18"/>
          <w:szCs w:val="18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B31E96" w:rsidTr="00B31E96">
        <w:trPr>
          <w:trHeight w:val="67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6" w:rsidRDefault="00B31E96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Zraniteľné skupiny alebo skupiny v riziku chudoby alebo sociálneho vylúčenia sú napr.: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ľudia so zdravotným postihnutím,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marginalizované rómske komunity 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príslušníci tretích krajín, azylanti, žiadatelia o azyl,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B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Samotný návrh akčného plánu nemá vplyv na zraniteľné skupiny, avšak realizované opatrenia energetickej efektívnosti môžu mať pozitívny vplyv najmä na:</w:t>
            </w:r>
          </w:p>
          <w:p w:rsidR="005779DB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46872">
              <w:rPr>
                <w:rFonts w:eastAsia="Calibri"/>
              </w:rPr>
              <w:t></w:t>
            </w:r>
            <w:r w:rsidRPr="00546872">
              <w:rPr>
                <w:rFonts w:eastAsia="Calibri"/>
              </w:rPr>
              <w:tab/>
              <w:t>domácnosti s nízkym príjmom</w:t>
            </w:r>
          </w:p>
          <w:p w:rsidR="005779DB" w:rsidRPr="00546872" w:rsidRDefault="005779DB" w:rsidP="005779DB">
            <w:pPr>
              <w:rPr>
                <w:rFonts w:eastAsia="Calibri"/>
              </w:rPr>
            </w:pPr>
            <w:r w:rsidRPr="00546872">
              <w:rPr>
                <w:rFonts w:eastAsia="Calibri"/>
              </w:rPr>
              <w:t></w:t>
            </w:r>
            <w:r w:rsidRPr="00546872">
              <w:rPr>
                <w:rFonts w:eastAsia="Calibri"/>
              </w:rPr>
              <w:tab/>
              <w:t>deti (0 – 17),</w:t>
            </w:r>
          </w:p>
          <w:p w:rsidR="005779DB" w:rsidRPr="00546872" w:rsidRDefault="005779DB" w:rsidP="005779DB">
            <w:pPr>
              <w:rPr>
                <w:rFonts w:eastAsia="Calibri"/>
              </w:rPr>
            </w:pPr>
            <w:r w:rsidRPr="00546872">
              <w:rPr>
                <w:rFonts w:eastAsia="Calibri"/>
              </w:rPr>
              <w:t></w:t>
            </w:r>
            <w:r w:rsidRPr="00546872">
              <w:rPr>
                <w:rFonts w:eastAsia="Calibri"/>
              </w:rPr>
              <w:tab/>
              <w:t>mladí ľudia (18 – 25 rokov),</w:t>
            </w:r>
          </w:p>
          <w:p w:rsidR="005779DB" w:rsidRDefault="005779DB" w:rsidP="005779DB">
            <w:pPr>
              <w:rPr>
                <w:rFonts w:eastAsia="Calibri"/>
              </w:rPr>
            </w:pPr>
            <w:r w:rsidRPr="00546872">
              <w:rPr>
                <w:rFonts w:eastAsia="Calibri"/>
              </w:rPr>
              <w:t></w:t>
            </w:r>
            <w:r w:rsidRPr="00546872">
              <w:rPr>
                <w:rFonts w:eastAsia="Calibri"/>
              </w:rPr>
              <w:tab/>
              <w:t>starší ľudia, napr. ľudia vo veku</w:t>
            </w:r>
            <w:r>
              <w:rPr>
                <w:rFonts w:eastAsia="Calibri"/>
              </w:rPr>
              <w:t xml:space="preserve"> nad 65 rokov alebo dôchodcovia</w:t>
            </w:r>
          </w:p>
          <w:p w:rsidR="005779DB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></w:t>
            </w:r>
            <w:r>
              <w:rPr>
                <w:rFonts w:eastAsia="Calibri"/>
              </w:rPr>
              <w:tab/>
              <w:t>domácnosti s 3 a viac deťmi</w:t>
            </w:r>
          </w:p>
          <w:p w:rsidR="005779DB" w:rsidRPr="0040544D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 i. </w:t>
            </w:r>
          </w:p>
          <w:p w:rsidR="00B31E96" w:rsidRDefault="00B31E96">
            <w:pPr>
              <w:rPr>
                <w:rFonts w:eastAsia="Calibri"/>
                <w:szCs w:val="22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</w:tc>
      </w:tr>
    </w:tbl>
    <w:p w:rsidR="00B31E96" w:rsidRDefault="00B31E96" w:rsidP="00B31E9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1E96" w:rsidRDefault="00B31E96" w:rsidP="00B31E96">
      <w:pPr>
        <w:rPr>
          <w:rFonts w:eastAsia="Calibri"/>
          <w:b/>
          <w:sz w:val="24"/>
          <w:szCs w:val="24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E96" w:rsidRDefault="00B31E9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4.3 Identifikujte a popíšte vplyv na rovnosť príležitostí.</w:t>
            </w:r>
          </w:p>
          <w:p w:rsidR="00B31E96" w:rsidRDefault="00B31E96">
            <w:pPr>
              <w:ind w:left="34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B31E96" w:rsidTr="00B31E9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Cs w:val="24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B31E96" w:rsidRDefault="00B31E96" w:rsidP="00B31E96">
      <w:pPr>
        <w:rPr>
          <w:rFonts w:eastAsia="Calibri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E96" w:rsidRDefault="005779D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 xml:space="preserve">Návrh nerozlišuje medzi uvedenými skupinami, z tohto dôvodu nevedie k diskriminácii. </w:t>
            </w:r>
          </w:p>
          <w:p w:rsidR="00B31E96" w:rsidRDefault="00B31E96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  <w:i/>
              </w:rPr>
            </w:pPr>
          </w:p>
        </w:tc>
      </w:tr>
    </w:tbl>
    <w:p w:rsidR="00B31E96" w:rsidRDefault="00B31E96" w:rsidP="00B31E96">
      <w:pPr>
        <w:rPr>
          <w:rFonts w:eastAsia="Calibri"/>
          <w:i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1E96" w:rsidRDefault="00B31E9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B31E96" w:rsidRDefault="00B31E96" w:rsidP="00B31E96">
      <w:pPr>
        <w:rPr>
          <w:rFonts w:eastAsia="Calibri"/>
          <w:i/>
          <w:sz w:val="18"/>
          <w:szCs w:val="18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B31E96" w:rsidTr="00B31E96">
        <w:trPr>
          <w:trHeight w:val="1235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E96" w:rsidRDefault="00B31E96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B31E96" w:rsidRDefault="00B31E96" w:rsidP="00B31E96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DB" w:rsidRPr="0040544D" w:rsidRDefault="005779DB" w:rsidP="005779DB">
            <w:pPr>
              <w:rPr>
                <w:rFonts w:eastAsia="Calibri"/>
              </w:rPr>
            </w:pPr>
            <w:r>
              <w:rPr>
                <w:rFonts w:eastAsia="Calibri"/>
              </w:rPr>
              <w:t>Nerelevantné.</w:t>
            </w:r>
          </w:p>
          <w:p w:rsidR="005779DB" w:rsidRDefault="005779DB" w:rsidP="005779DB">
            <w:pPr>
              <w:rPr>
                <w:rFonts w:eastAsia="Calibri"/>
              </w:rPr>
            </w:pPr>
          </w:p>
          <w:p w:rsidR="005779DB" w:rsidRDefault="005779DB" w:rsidP="005779DB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  <w:szCs w:val="22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  <w:p w:rsidR="00B31E96" w:rsidRDefault="00B31E96">
            <w:pPr>
              <w:rPr>
                <w:rFonts w:eastAsia="Calibri"/>
              </w:rPr>
            </w:pPr>
          </w:p>
        </w:tc>
      </w:tr>
    </w:tbl>
    <w:p w:rsidR="00B31E96" w:rsidRDefault="00B31E96" w:rsidP="00B31E96">
      <w:pPr>
        <w:rPr>
          <w:rFonts w:eastAsia="Calibri"/>
          <w:b/>
          <w:sz w:val="24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B31E96" w:rsidTr="00B31E9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E96" w:rsidRDefault="00B31E96">
            <w:pPr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</w:rPr>
              <w:lastRenderedPageBreak/>
              <w:t>4.4 Identifikujte, popíšte a kvantifikujte vplyvy na zamestnanosť a na trh práce.</w:t>
            </w:r>
          </w:p>
          <w:p w:rsidR="00B31E96" w:rsidRDefault="00B31E96">
            <w:pPr>
              <w:jc w:val="both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</w:rPr>
              <w:t xml:space="preserve">V prípade kladnej odpovede pripojte </w:t>
            </w:r>
            <w:r>
              <w:rPr>
                <w:rFonts w:eastAsia="Calibri"/>
                <w:b/>
                <w:i/>
              </w:rPr>
              <w:t>odôvodnenie</w:t>
            </w:r>
            <w:r>
              <w:rPr>
                <w:rFonts w:eastAsia="Calibri"/>
                <w:i/>
              </w:rPr>
              <w:t xml:space="preserve"> v súlade s Metodickým postupom pre analýzu sociálnych vplyvov.</w:t>
            </w:r>
          </w:p>
        </w:tc>
      </w:tr>
    </w:tbl>
    <w:p w:rsidR="00B31E96" w:rsidRDefault="00B31E96" w:rsidP="00B31E96">
      <w:pPr>
        <w:rPr>
          <w:rFonts w:eastAsia="Calibri"/>
          <w:i/>
          <w:szCs w:val="24"/>
        </w:rPr>
        <w:sectPr w:rsidR="00B31E96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8"/>
      </w:tblGrid>
      <w:tr w:rsidR="00B31E96" w:rsidTr="00B31E96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B31E96" w:rsidTr="00B31E96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E96" w:rsidRDefault="00B31E96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96" w:rsidRDefault="00B31345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Samotný návrh nie, ale v odvetviach, kde sú zavádzané opatrenia </w:t>
            </w:r>
            <w:r>
              <w:rPr>
                <w:rFonts w:eastAsia="Calibri"/>
              </w:rPr>
              <w:t xml:space="preserve">energetickej efektívnosti, resp. ktoré poskytujú produkty a služby v oblasti energetickej efektívnosti môže dôjsť k vzniku nových  pracovných miest (ide </w:t>
            </w:r>
            <w:r w:rsidRPr="007629D9">
              <w:rPr>
                <w:rFonts w:eastAsia="Calibri"/>
              </w:rPr>
              <w:t>najmä o subjekty pôsobiace v oblasti stavebníctva, v energetickom priemysle, v priemyselných odvetviach zameraných na výrobu stavebníckych materiálov, ako aj subjekty p</w:t>
            </w:r>
            <w:r>
              <w:rPr>
                <w:rFonts w:eastAsia="Calibri"/>
              </w:rPr>
              <w:t>oskytujúce energetické služby).</w:t>
            </w:r>
          </w:p>
        </w:tc>
      </w:tr>
      <w:tr w:rsidR="00B31E96" w:rsidTr="00B31E96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Vedie návrh k zániku pracovných miest?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Ak áno, ako a akých? Ak je to možné, doplňte kvantifikáciu.</w:t>
            </w:r>
          </w:p>
        </w:tc>
      </w:tr>
      <w:tr w:rsidR="00B31E96" w:rsidTr="00B31E96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E96" w:rsidRDefault="00B31E96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96" w:rsidRDefault="00B31345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Nie.</w:t>
            </w:r>
          </w:p>
        </w:tc>
      </w:tr>
      <w:tr w:rsidR="00B31E96" w:rsidTr="00B31E96"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Ovplyvňuje návrh dopyt po práci?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Ak áno, ako?</w:t>
            </w:r>
          </w:p>
        </w:tc>
      </w:tr>
      <w:tr w:rsidR="00B31E96" w:rsidTr="00B31E96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E96" w:rsidRDefault="00B31E96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96" w:rsidRDefault="00B31345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Implementácia opatrenia </w:t>
            </w:r>
            <w:r>
              <w:rPr>
                <w:rFonts w:eastAsia="Calibri"/>
              </w:rPr>
              <w:t>energetickej efektívnosti si vyžaduje aj nové pracovné sily s potrebnými zručnosťami.</w:t>
            </w:r>
          </w:p>
        </w:tc>
      </w:tr>
      <w:tr w:rsidR="00B31E96" w:rsidTr="00B31E96"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Má návrh dosah na fungovanie trhu práce?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Ak áno, aký?</w:t>
            </w:r>
          </w:p>
        </w:tc>
      </w:tr>
      <w:tr w:rsidR="00B31E96" w:rsidTr="00B31E96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E96" w:rsidRDefault="00B31E96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96" w:rsidRDefault="00B31345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</w:tr>
      <w:tr w:rsidR="00B31E96" w:rsidTr="00B31E96"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Má návrh špecifické negatívne dôsledky pre isté skupiny profesií, skupín zamestnancov či živnostníkov?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Ak áno, aké a pre ktoré skupiny?</w:t>
            </w:r>
          </w:p>
        </w:tc>
      </w:tr>
      <w:tr w:rsidR="00B31E96" w:rsidTr="00B31E96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E96" w:rsidRDefault="00B31E96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96" w:rsidRDefault="00B31345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</w:tr>
      <w:tr w:rsidR="00B31E96" w:rsidTr="00B31E96"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1E96" w:rsidRDefault="00B31E9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Ovplyvňuje návrh špecifické vekové skupiny zamestnancov? Ak áno, aké? Akým spôsobom?</w:t>
            </w:r>
          </w:p>
        </w:tc>
      </w:tr>
      <w:tr w:rsidR="00B31E96" w:rsidTr="00B31E96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E96" w:rsidRDefault="00B31E96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96" w:rsidRDefault="00B31345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</w:tr>
    </w:tbl>
    <w:p w:rsidR="007C1956" w:rsidRDefault="007C1956" w:rsidP="0033102C">
      <w:pPr>
        <w:spacing w:after="160" w:line="259" w:lineRule="auto"/>
      </w:pPr>
    </w:p>
    <w:sectPr w:rsidR="007C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60" w:rsidRDefault="00BA4E60">
      <w:r>
        <w:separator/>
      </w:r>
    </w:p>
  </w:endnote>
  <w:endnote w:type="continuationSeparator" w:id="0">
    <w:p w:rsidR="00BA4E60" w:rsidRDefault="00B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4" w:rsidRDefault="00DC62B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C62B4" w:rsidRDefault="00DC62B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4" w:rsidRDefault="00DC62B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148C4">
      <w:rPr>
        <w:noProof/>
      </w:rPr>
      <w:t>17</w:t>
    </w:r>
    <w:r>
      <w:fldChar w:fldCharType="end"/>
    </w:r>
  </w:p>
  <w:p w:rsidR="00DC62B4" w:rsidRDefault="00DC62B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4" w:rsidRDefault="00DC62B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C62B4" w:rsidRDefault="00DC62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60" w:rsidRDefault="00BA4E60">
      <w:r>
        <w:separator/>
      </w:r>
    </w:p>
  </w:footnote>
  <w:footnote w:type="continuationSeparator" w:id="0">
    <w:p w:rsidR="00BA4E60" w:rsidRDefault="00BA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4" w:rsidRDefault="00DC62B4" w:rsidP="007573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C62B4" w:rsidRPr="00EB59C8" w:rsidRDefault="00DC62B4" w:rsidP="007573A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4" w:rsidRPr="000A15AE" w:rsidRDefault="00DC62B4" w:rsidP="007573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CA"/>
    <w:multiLevelType w:val="hybridMultilevel"/>
    <w:tmpl w:val="5520356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32E"/>
    <w:multiLevelType w:val="hybridMultilevel"/>
    <w:tmpl w:val="4198C2E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53D6D"/>
    <w:multiLevelType w:val="hybridMultilevel"/>
    <w:tmpl w:val="B5006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035"/>
    <w:multiLevelType w:val="hybridMultilevel"/>
    <w:tmpl w:val="D2A6AE9C"/>
    <w:lvl w:ilvl="0" w:tplc="9EE89F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E23D2"/>
    <w:multiLevelType w:val="hybridMultilevel"/>
    <w:tmpl w:val="E1D8D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A3E78"/>
    <w:multiLevelType w:val="hybridMultilevel"/>
    <w:tmpl w:val="965E17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067A9"/>
    <w:multiLevelType w:val="hybridMultilevel"/>
    <w:tmpl w:val="A42240A0"/>
    <w:lvl w:ilvl="0" w:tplc="9EDC0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79DC"/>
    <w:multiLevelType w:val="hybridMultilevel"/>
    <w:tmpl w:val="ED569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6"/>
    <w:rsid w:val="000148C4"/>
    <w:rsid w:val="000966D0"/>
    <w:rsid w:val="000D7E6F"/>
    <w:rsid w:val="000E1423"/>
    <w:rsid w:val="00160CBD"/>
    <w:rsid w:val="00166694"/>
    <w:rsid w:val="001D47C5"/>
    <w:rsid w:val="001E37D3"/>
    <w:rsid w:val="001E731B"/>
    <w:rsid w:val="001F3FFA"/>
    <w:rsid w:val="00200BDE"/>
    <w:rsid w:val="002668B6"/>
    <w:rsid w:val="00290D12"/>
    <w:rsid w:val="0029149A"/>
    <w:rsid w:val="002C51E1"/>
    <w:rsid w:val="00327190"/>
    <w:rsid w:val="0033102C"/>
    <w:rsid w:val="00380760"/>
    <w:rsid w:val="00390DA6"/>
    <w:rsid w:val="003F1EDE"/>
    <w:rsid w:val="0041408D"/>
    <w:rsid w:val="00424E5D"/>
    <w:rsid w:val="00441B8E"/>
    <w:rsid w:val="00490790"/>
    <w:rsid w:val="00495EF4"/>
    <w:rsid w:val="00521894"/>
    <w:rsid w:val="005436DC"/>
    <w:rsid w:val="00550553"/>
    <w:rsid w:val="005779DB"/>
    <w:rsid w:val="00586209"/>
    <w:rsid w:val="005A6A17"/>
    <w:rsid w:val="005D6DEF"/>
    <w:rsid w:val="00607150"/>
    <w:rsid w:val="0068176C"/>
    <w:rsid w:val="00695517"/>
    <w:rsid w:val="006A1938"/>
    <w:rsid w:val="006B222A"/>
    <w:rsid w:val="006C120D"/>
    <w:rsid w:val="006C3600"/>
    <w:rsid w:val="006C3C1B"/>
    <w:rsid w:val="00711683"/>
    <w:rsid w:val="00724595"/>
    <w:rsid w:val="00733F96"/>
    <w:rsid w:val="00744A55"/>
    <w:rsid w:val="007573A1"/>
    <w:rsid w:val="007A3CAE"/>
    <w:rsid w:val="007C1956"/>
    <w:rsid w:val="007C7B4D"/>
    <w:rsid w:val="007E2C12"/>
    <w:rsid w:val="008214AE"/>
    <w:rsid w:val="00876AEB"/>
    <w:rsid w:val="008A58E5"/>
    <w:rsid w:val="008F30A0"/>
    <w:rsid w:val="00991D70"/>
    <w:rsid w:val="00A247A0"/>
    <w:rsid w:val="00A306B4"/>
    <w:rsid w:val="00A60766"/>
    <w:rsid w:val="00A66B9D"/>
    <w:rsid w:val="00A74806"/>
    <w:rsid w:val="00A844E4"/>
    <w:rsid w:val="00AA092E"/>
    <w:rsid w:val="00AD3041"/>
    <w:rsid w:val="00B07E06"/>
    <w:rsid w:val="00B31345"/>
    <w:rsid w:val="00B31E96"/>
    <w:rsid w:val="00B55845"/>
    <w:rsid w:val="00BA4E60"/>
    <w:rsid w:val="00BF188E"/>
    <w:rsid w:val="00BF5F61"/>
    <w:rsid w:val="00C1498C"/>
    <w:rsid w:val="00CB6698"/>
    <w:rsid w:val="00D07AEA"/>
    <w:rsid w:val="00D36091"/>
    <w:rsid w:val="00D7438E"/>
    <w:rsid w:val="00DC62B4"/>
    <w:rsid w:val="00DD1F5A"/>
    <w:rsid w:val="00E84C95"/>
    <w:rsid w:val="00EE1A7A"/>
    <w:rsid w:val="00EF038E"/>
    <w:rsid w:val="00F46B95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6535"/>
  <w15:chartTrackingRefBased/>
  <w15:docId w15:val="{5DA06037-0610-44AC-A428-98C2C7D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74806"/>
    <w:rPr>
      <w:color w:val="0000FF"/>
      <w:u w:val="single"/>
    </w:rPr>
  </w:style>
  <w:style w:type="table" w:styleId="Mriekatabuky">
    <w:name w:val="Table Grid"/>
    <w:basedOn w:val="Normlnatabuka"/>
    <w:uiPriority w:val="59"/>
    <w:rsid w:val="007C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30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06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06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06B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306B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70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D0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ytarova@mhsr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Korytarova Katarina</dc:creator>
  <cp:keywords/>
  <dc:description/>
  <cp:lastModifiedBy>Korytarova Katarina</cp:lastModifiedBy>
  <cp:revision>59</cp:revision>
  <cp:lastPrinted>2017-03-17T11:28:00Z</cp:lastPrinted>
  <dcterms:created xsi:type="dcterms:W3CDTF">2017-03-01T10:14:00Z</dcterms:created>
  <dcterms:modified xsi:type="dcterms:W3CDTF">2017-03-20T09:36:00Z</dcterms:modified>
</cp:coreProperties>
</file>