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2" w:rsidRPr="004F633F" w:rsidRDefault="00AB1742" w:rsidP="00AB1742">
      <w:pPr>
        <w:jc w:val="center"/>
        <w:rPr>
          <w:b/>
          <w:bCs/>
          <w:caps/>
          <w:spacing w:val="30"/>
        </w:rPr>
      </w:pPr>
      <w:r w:rsidRPr="004F633F">
        <w:rPr>
          <w:b/>
          <w:bCs/>
          <w:caps/>
          <w:spacing w:val="30"/>
        </w:rPr>
        <w:t>Doložka zlučiteľnosti</w:t>
      </w:r>
    </w:p>
    <w:p w:rsidR="00AB1742" w:rsidRPr="004F633F" w:rsidRDefault="00AB1742" w:rsidP="00AB1742">
      <w:pPr>
        <w:jc w:val="center"/>
        <w:rPr>
          <w:rFonts w:cs="Verdana"/>
          <w:b/>
          <w:bCs/>
        </w:rPr>
      </w:pPr>
      <w:r w:rsidRPr="004F633F">
        <w:rPr>
          <w:b/>
          <w:bCs/>
        </w:rPr>
        <w:t>právneho predpisu s právom Európskej únie</w:t>
      </w:r>
      <w:r w:rsidRPr="004F633F">
        <w:rPr>
          <w:rFonts w:cs="Verdana"/>
          <w:b/>
          <w:bCs/>
        </w:rPr>
        <w:t> </w:t>
      </w:r>
    </w:p>
    <w:p w:rsidR="00AB1742" w:rsidRDefault="00AB1742" w:rsidP="00AB1742">
      <w:pPr>
        <w:rPr>
          <w:rFonts w:cs="Verdana"/>
        </w:rPr>
      </w:pPr>
    </w:p>
    <w:p w:rsidR="00AB1742" w:rsidRPr="004F633F" w:rsidRDefault="00AB1742" w:rsidP="00AB1742">
      <w:pPr>
        <w:rPr>
          <w:rFonts w:cs="Verdana"/>
        </w:rPr>
      </w:pPr>
    </w:p>
    <w:p w:rsidR="00AB1742" w:rsidRPr="004F633F" w:rsidRDefault="00AB1742" w:rsidP="00AB1742">
      <w:pPr>
        <w:rPr>
          <w:rFonts w:cs="Verdana"/>
        </w:rPr>
      </w:pPr>
    </w:p>
    <w:p w:rsidR="00AB1742" w:rsidRPr="004F633F" w:rsidRDefault="00AB1742" w:rsidP="00166B8A">
      <w:pPr>
        <w:spacing w:line="276" w:lineRule="auto"/>
        <w:ind w:left="360" w:hanging="360"/>
        <w:rPr>
          <w:rFonts w:cs="Verdana"/>
          <w:b/>
          <w:bCs/>
        </w:rPr>
      </w:pPr>
      <w:r w:rsidRPr="00855327">
        <w:rPr>
          <w:b/>
          <w:bCs/>
        </w:rPr>
        <w:t>1.</w:t>
      </w:r>
      <w:r w:rsidRPr="00855327">
        <w:rPr>
          <w:b/>
          <w:bCs/>
        </w:rPr>
        <w:tab/>
        <w:t>Predkladateľ právneho predpisu:</w:t>
      </w:r>
      <w:r w:rsidRPr="00855327">
        <w:t xml:space="preserve"> Ministerstvo životného prostredia Slovenskej</w:t>
      </w:r>
      <w:r w:rsidRPr="004F633F">
        <w:t xml:space="preserve"> republiky</w:t>
      </w:r>
    </w:p>
    <w:p w:rsidR="00AB1742" w:rsidRPr="004F633F" w:rsidRDefault="00AB1742" w:rsidP="006E1971">
      <w:pPr>
        <w:tabs>
          <w:tab w:val="left" w:pos="360"/>
        </w:tabs>
        <w:spacing w:line="276" w:lineRule="auto"/>
        <w:ind w:left="360"/>
      </w:pPr>
      <w:r w:rsidRPr="004F633F">
        <w:t xml:space="preserve"> </w:t>
      </w:r>
    </w:p>
    <w:p w:rsidR="00AB1742" w:rsidRPr="004F633F" w:rsidRDefault="00AB1742" w:rsidP="006E1971">
      <w:pPr>
        <w:spacing w:line="276" w:lineRule="auto"/>
        <w:ind w:left="360" w:hanging="360"/>
        <w:jc w:val="both"/>
        <w:rPr>
          <w:rFonts w:cs="Verdana"/>
          <w:b/>
          <w:bCs/>
        </w:rPr>
      </w:pPr>
      <w:r w:rsidRPr="004F633F">
        <w:rPr>
          <w:b/>
          <w:bCs/>
        </w:rPr>
        <w:t>2.</w:t>
      </w:r>
      <w:r w:rsidRPr="004F633F">
        <w:rPr>
          <w:b/>
          <w:bCs/>
        </w:rPr>
        <w:tab/>
        <w:t>Názov návrhu právneho predpisu:</w:t>
      </w:r>
      <w:r w:rsidRPr="004F633F">
        <w:t xml:space="preserve"> </w:t>
      </w:r>
      <w:r w:rsidR="00103037" w:rsidRPr="00103037">
        <w:rPr>
          <w:rStyle w:val="Zstupntext"/>
          <w:color w:val="000000"/>
        </w:rPr>
        <w:t>Návrh zákona, ktorým sa mení a dopĺňa zákon č. 39/2013 Z. z. o integrovanej prevencii a kontrole znečisťovania životného prostredia a o zmene a doplnení niektorých zákonov v znení neskorší</w:t>
      </w:r>
      <w:r w:rsidR="00D276F5">
        <w:rPr>
          <w:rStyle w:val="Zstupntext"/>
          <w:color w:val="000000"/>
        </w:rPr>
        <w:t>ch predpisov</w:t>
      </w:r>
    </w:p>
    <w:p w:rsidR="00AB1742" w:rsidRDefault="00AB1742" w:rsidP="006E1971">
      <w:pPr>
        <w:spacing w:line="276" w:lineRule="auto"/>
        <w:rPr>
          <w:rFonts w:cs="Verdana"/>
        </w:rPr>
      </w:pPr>
    </w:p>
    <w:p w:rsidR="00AB1742" w:rsidRPr="004F633F" w:rsidRDefault="00AB1742" w:rsidP="006E1971">
      <w:pPr>
        <w:spacing w:line="276" w:lineRule="auto"/>
        <w:ind w:left="360" w:hanging="360"/>
        <w:rPr>
          <w:b/>
          <w:bCs/>
        </w:rPr>
      </w:pPr>
      <w:r w:rsidRPr="004F633F">
        <w:rPr>
          <w:b/>
          <w:bCs/>
        </w:rPr>
        <w:t>3.</w:t>
      </w:r>
      <w:r w:rsidRPr="004F633F">
        <w:rPr>
          <w:b/>
          <w:bCs/>
        </w:rPr>
        <w:tab/>
        <w:t>Problematika návrhu právneho predpisu:</w:t>
      </w:r>
    </w:p>
    <w:p w:rsidR="00AB1742" w:rsidRPr="004F633F" w:rsidRDefault="00AB1742" w:rsidP="006E1971">
      <w:pPr>
        <w:spacing w:line="276" w:lineRule="auto"/>
        <w:ind w:firstLine="360"/>
      </w:pPr>
    </w:p>
    <w:p w:rsidR="00AB1742" w:rsidRPr="004F633F" w:rsidRDefault="00AB1742" w:rsidP="006E1971">
      <w:pPr>
        <w:spacing w:line="276" w:lineRule="auto"/>
        <w:ind w:left="709" w:hanging="349"/>
        <w:rPr>
          <w:rFonts w:cs="Verdana"/>
        </w:rPr>
      </w:pPr>
      <w:r w:rsidRPr="004F633F">
        <w:t>a)</w:t>
      </w:r>
      <w:r w:rsidRPr="004F633F">
        <w:tab/>
        <w:t>je upravená v práve Európskej únie</w:t>
      </w:r>
    </w:p>
    <w:p w:rsidR="00AB1742" w:rsidRPr="004F633F" w:rsidRDefault="00AB1742" w:rsidP="009D1E3C">
      <w:pPr>
        <w:spacing w:line="276" w:lineRule="auto"/>
        <w:ind w:left="360"/>
        <w:jc w:val="both"/>
        <w:rPr>
          <w:rFonts w:cs="Verdana"/>
        </w:rPr>
      </w:pPr>
    </w:p>
    <w:p w:rsidR="00AB1742" w:rsidRPr="004F633F" w:rsidRDefault="00AB1742" w:rsidP="009D1E3C">
      <w:pPr>
        <w:tabs>
          <w:tab w:val="left" w:pos="1068"/>
        </w:tabs>
        <w:spacing w:line="276" w:lineRule="auto"/>
        <w:ind w:left="879" w:hanging="171"/>
        <w:jc w:val="both"/>
      </w:pPr>
      <w:r w:rsidRPr="004F633F">
        <w:rPr>
          <w:rFonts w:cs="Verdana"/>
        </w:rPr>
        <w:t>-</w:t>
      </w:r>
      <w:r w:rsidRPr="004F633F">
        <w:rPr>
          <w:rFonts w:cs="Verdana"/>
        </w:rPr>
        <w:tab/>
      </w:r>
      <w:r w:rsidRPr="004F633F">
        <w:rPr>
          <w:i/>
          <w:iCs/>
        </w:rPr>
        <w:t>primárnom</w:t>
      </w:r>
      <w:r>
        <w:rPr>
          <w:i/>
          <w:iCs/>
        </w:rPr>
        <w:t xml:space="preserve">:  </w:t>
      </w:r>
      <w:r w:rsidRPr="004F633F">
        <w:t xml:space="preserve">články </w:t>
      </w:r>
      <w:r>
        <w:t>192  a 193</w:t>
      </w:r>
      <w:r w:rsidRPr="004F633F">
        <w:t xml:space="preserve"> Zmluvy o fungovaní Európskej únie, </w:t>
      </w:r>
    </w:p>
    <w:p w:rsidR="00AB1742" w:rsidRPr="004F633F" w:rsidRDefault="00AB1742" w:rsidP="009D1E3C">
      <w:pPr>
        <w:spacing w:line="276" w:lineRule="auto"/>
        <w:ind w:firstLine="360"/>
        <w:jc w:val="both"/>
        <w:rPr>
          <w:rFonts w:cs="Verdana"/>
        </w:rPr>
      </w:pPr>
    </w:p>
    <w:p w:rsidR="00AB1742" w:rsidRPr="004F633F" w:rsidRDefault="00AB1742" w:rsidP="009D1E3C">
      <w:pPr>
        <w:tabs>
          <w:tab w:val="left" w:pos="1068"/>
        </w:tabs>
        <w:spacing w:line="276" w:lineRule="auto"/>
        <w:ind w:left="840" w:hanging="132"/>
        <w:jc w:val="both"/>
        <w:rPr>
          <w:i/>
          <w:iCs/>
        </w:rPr>
      </w:pPr>
      <w:r>
        <w:rPr>
          <w:i/>
          <w:iCs/>
        </w:rPr>
        <w:t xml:space="preserve">- </w:t>
      </w:r>
      <w:r w:rsidRPr="004F633F">
        <w:rPr>
          <w:i/>
          <w:iCs/>
        </w:rPr>
        <w:t>sekundárnom (prijatom po 30. novembri 2009</w:t>
      </w:r>
      <w:r>
        <w:rPr>
          <w:i/>
          <w:iCs/>
        </w:rPr>
        <w:t xml:space="preserve"> - </w:t>
      </w:r>
      <w:r w:rsidRPr="004F633F">
        <w:rPr>
          <w:i/>
          <w:iCs/>
        </w:rPr>
        <w:t>po nadobudnutím platnosti Lisabonskej zmluvy, ktorou sa mení a dopĺňa Zmluva o Európskej únii</w:t>
      </w:r>
      <w:r>
        <w:rPr>
          <w:i/>
          <w:iCs/>
        </w:rPr>
        <w:t xml:space="preserve"> a Zmluva o založení Európskeho spoločenstva</w:t>
      </w:r>
      <w:r w:rsidRPr="004F633F">
        <w:rPr>
          <w:i/>
          <w:iCs/>
        </w:rPr>
        <w:t>)</w:t>
      </w:r>
      <w:r>
        <w:rPr>
          <w:i/>
          <w:iCs/>
        </w:rPr>
        <w:t xml:space="preserve">:  </w:t>
      </w:r>
    </w:p>
    <w:p w:rsidR="00AB1742" w:rsidRDefault="00AB1742" w:rsidP="009D1E3C">
      <w:pPr>
        <w:widowControl/>
        <w:spacing w:line="276" w:lineRule="auto"/>
        <w:ind w:firstLine="708"/>
        <w:jc w:val="both"/>
      </w:pPr>
    </w:p>
    <w:p w:rsidR="00AB1742" w:rsidRDefault="00AB1742" w:rsidP="009D1E3C">
      <w:pPr>
        <w:spacing w:line="276" w:lineRule="auto"/>
        <w:ind w:left="960"/>
        <w:jc w:val="both"/>
      </w:pPr>
      <w:r>
        <w:t xml:space="preserve">1. </w:t>
      </w:r>
      <w:r w:rsidRPr="004F633F">
        <w:t>legislatívne akty</w:t>
      </w:r>
      <w:r>
        <w:t>:</w:t>
      </w:r>
    </w:p>
    <w:p w:rsidR="00855327" w:rsidRDefault="00855327" w:rsidP="009D1E3C">
      <w:pPr>
        <w:pStyle w:val="Default"/>
        <w:jc w:val="both"/>
      </w:pPr>
    </w:p>
    <w:p w:rsidR="00AF1269" w:rsidRPr="00AF1269" w:rsidRDefault="00855327" w:rsidP="00AF1269">
      <w:pPr>
        <w:jc w:val="both"/>
        <w:rPr>
          <w:rFonts w:ascii="Times" w:hAnsi="Times" w:cs="Times"/>
        </w:rPr>
      </w:pPr>
      <w:r>
        <w:rPr>
          <w:bCs/>
        </w:rPr>
        <w:t>Smernica európskeho parlamentu a rady</w:t>
      </w:r>
      <w:r w:rsidRPr="00855327">
        <w:rPr>
          <w:bCs/>
        </w:rPr>
        <w:t xml:space="preserve"> 2010/75/EÚ</w:t>
      </w:r>
      <w:r>
        <w:t xml:space="preserve"> </w:t>
      </w:r>
      <w:r w:rsidRPr="00855327">
        <w:rPr>
          <w:bCs/>
        </w:rPr>
        <w:t>z 24. novembra 2010 o priemyselných emisiách</w:t>
      </w:r>
      <w:r>
        <w:rPr>
          <w:bCs/>
        </w:rPr>
        <w:t xml:space="preserve"> </w:t>
      </w:r>
      <w:r w:rsidRPr="00855327">
        <w:rPr>
          <w:bCs/>
        </w:rPr>
        <w:t>(integrovaná prevencia a kontrola znečisťovania životného prostredia</w:t>
      </w:r>
      <w:r w:rsidR="00A16C23">
        <w:rPr>
          <w:bCs/>
        </w:rPr>
        <w:t>)</w:t>
      </w:r>
      <w:r w:rsidR="00AF1269">
        <w:rPr>
          <w:bCs/>
        </w:rPr>
        <w:t xml:space="preserve"> </w:t>
      </w:r>
      <w:r w:rsidR="00AF1269" w:rsidRPr="00AF1269">
        <w:rPr>
          <w:rFonts w:ascii="Times" w:hAnsi="Times" w:cs="Times"/>
        </w:rPr>
        <w:t>(prepracované znenie) (Ú. v. EÚ L 334, 17. 12. 2010),</w:t>
      </w:r>
    </w:p>
    <w:p w:rsidR="00855327" w:rsidRPr="00855327" w:rsidRDefault="00855327" w:rsidP="009D1E3C">
      <w:pPr>
        <w:pStyle w:val="Default"/>
        <w:ind w:left="708"/>
        <w:jc w:val="both"/>
        <w:rPr>
          <w:rFonts w:ascii="Times New Roman" w:hAnsi="Times New Roman" w:cs="Times New Roman"/>
        </w:rPr>
      </w:pPr>
    </w:p>
    <w:p w:rsidR="00855327" w:rsidRDefault="00855327" w:rsidP="009D1E3C">
      <w:pPr>
        <w:spacing w:line="276" w:lineRule="auto"/>
        <w:ind w:left="960"/>
        <w:jc w:val="both"/>
        <w:rPr>
          <w:b/>
          <w:bCs/>
          <w:sz w:val="19"/>
          <w:szCs w:val="19"/>
        </w:rPr>
      </w:pPr>
    </w:p>
    <w:p w:rsidR="00855327" w:rsidRDefault="00855327" w:rsidP="00855327">
      <w:pPr>
        <w:spacing w:line="276" w:lineRule="auto"/>
        <w:ind w:left="960"/>
        <w:jc w:val="both"/>
        <w:rPr>
          <w:b/>
          <w:bCs/>
          <w:sz w:val="19"/>
          <w:szCs w:val="19"/>
        </w:rPr>
      </w:pPr>
    </w:p>
    <w:p w:rsidR="00AB1742" w:rsidRPr="005E1526" w:rsidRDefault="00855327" w:rsidP="00855327">
      <w:pPr>
        <w:spacing w:line="276" w:lineRule="auto"/>
        <w:ind w:left="960"/>
        <w:jc w:val="both"/>
      </w:pPr>
      <w:r>
        <w:rPr>
          <w:b/>
          <w:bCs/>
          <w:sz w:val="19"/>
          <w:szCs w:val="19"/>
        </w:rPr>
        <w:t xml:space="preserve"> </w:t>
      </w:r>
      <w:r w:rsidR="00025840">
        <w:t>2. nelegislatívne akty:   nie sú,</w:t>
      </w:r>
    </w:p>
    <w:p w:rsidR="00AB1742" w:rsidRPr="004F633F" w:rsidRDefault="00AB1742" w:rsidP="006E1971">
      <w:pPr>
        <w:widowControl/>
        <w:spacing w:line="276" w:lineRule="auto"/>
        <w:ind w:firstLine="708"/>
        <w:jc w:val="both"/>
      </w:pPr>
    </w:p>
    <w:p w:rsidR="00AB1742" w:rsidRPr="004F633F" w:rsidRDefault="00AB1742" w:rsidP="006E1971">
      <w:pPr>
        <w:widowControl/>
        <w:spacing w:line="276" w:lineRule="auto"/>
        <w:ind w:left="840" w:hanging="120"/>
        <w:jc w:val="both"/>
        <w:rPr>
          <w:i/>
        </w:rPr>
      </w:pPr>
      <w:r>
        <w:rPr>
          <w:i/>
        </w:rPr>
        <w:t xml:space="preserve">- </w:t>
      </w:r>
      <w:r w:rsidRPr="004F633F">
        <w:rPr>
          <w:i/>
        </w:rPr>
        <w:t>sekundárnom (prijatom do 30. novembra 2009</w:t>
      </w:r>
      <w:r>
        <w:rPr>
          <w:i/>
        </w:rPr>
        <w:t xml:space="preserve"> - </w:t>
      </w:r>
      <w:r w:rsidRPr="004F633F">
        <w:rPr>
          <w:i/>
        </w:rPr>
        <w:t xml:space="preserve">pred nadobudnutím platnosti Lisabonskej zmluvy, ktorou sa mení a dopĺňa </w:t>
      </w:r>
      <w:r>
        <w:rPr>
          <w:i/>
        </w:rPr>
        <w:t>Zmluva o Európskej únii a Zmluva o založení Európskeho spoločenstva</w:t>
      </w:r>
      <w:r w:rsidRPr="004F633F">
        <w:rPr>
          <w:i/>
        </w:rPr>
        <w:t>)</w:t>
      </w:r>
      <w:r>
        <w:rPr>
          <w:i/>
        </w:rPr>
        <w:t>:</w:t>
      </w:r>
    </w:p>
    <w:p w:rsidR="00AB1742" w:rsidRDefault="00AB1742" w:rsidP="006E1971">
      <w:pPr>
        <w:spacing w:line="276" w:lineRule="auto"/>
        <w:ind w:left="708"/>
      </w:pPr>
    </w:p>
    <w:p w:rsidR="00AB1742" w:rsidRPr="005E1526" w:rsidRDefault="00AB1742" w:rsidP="006E1971">
      <w:pPr>
        <w:widowControl/>
        <w:spacing w:line="276" w:lineRule="auto"/>
        <w:ind w:left="960" w:hanging="12"/>
        <w:jc w:val="both"/>
      </w:pPr>
      <w:r>
        <w:t xml:space="preserve">1. </w:t>
      </w:r>
      <w:r w:rsidRPr="004F633F">
        <w:t>legislatívne akty</w:t>
      </w:r>
      <w:r w:rsidR="00025840">
        <w:t>:  nie sú,</w:t>
      </w:r>
    </w:p>
    <w:p w:rsidR="00AB1742" w:rsidRDefault="00AB1742" w:rsidP="006E1971">
      <w:pPr>
        <w:spacing w:line="276" w:lineRule="auto"/>
        <w:ind w:left="960"/>
      </w:pPr>
    </w:p>
    <w:p w:rsidR="00AB1742" w:rsidRPr="005E1526" w:rsidRDefault="00025840" w:rsidP="006E1971">
      <w:pPr>
        <w:widowControl/>
        <w:spacing w:line="276" w:lineRule="auto"/>
        <w:ind w:left="960" w:hanging="12"/>
        <w:jc w:val="both"/>
      </w:pPr>
      <w:r>
        <w:t>2. nelegislatívne akty:  nie sú,</w:t>
      </w:r>
    </w:p>
    <w:p w:rsidR="00AB1742" w:rsidRDefault="00AB1742" w:rsidP="006E1971">
      <w:pPr>
        <w:spacing w:line="276" w:lineRule="auto"/>
        <w:ind w:firstLine="360"/>
      </w:pPr>
    </w:p>
    <w:p w:rsidR="00AB1742" w:rsidRDefault="00AB1742" w:rsidP="006E1971">
      <w:pPr>
        <w:spacing w:line="276" w:lineRule="auto"/>
        <w:ind w:left="709" w:hanging="349"/>
      </w:pPr>
      <w:r w:rsidRPr="004F633F">
        <w:t>b)</w:t>
      </w:r>
      <w:r w:rsidRPr="004F633F">
        <w:tab/>
      </w:r>
      <w:r w:rsidRPr="00422927">
        <w:t>nie je</w:t>
      </w:r>
      <w:r w:rsidRPr="004F633F">
        <w:t xml:space="preserve"> obsiahnutá v judikatúre Súdneho dvora Európskej únie.</w:t>
      </w:r>
    </w:p>
    <w:p w:rsidR="00FB401A" w:rsidRDefault="00FB401A" w:rsidP="006E1971">
      <w:pPr>
        <w:spacing w:line="276" w:lineRule="auto"/>
        <w:ind w:left="709" w:hanging="349"/>
      </w:pPr>
    </w:p>
    <w:p w:rsidR="00FB401A" w:rsidRDefault="00FB401A" w:rsidP="006E1971">
      <w:pPr>
        <w:spacing w:line="276" w:lineRule="auto"/>
        <w:ind w:left="709" w:hanging="349"/>
      </w:pPr>
    </w:p>
    <w:p w:rsidR="00025840" w:rsidRDefault="00025840" w:rsidP="006E1971">
      <w:pPr>
        <w:spacing w:line="276" w:lineRule="auto"/>
        <w:ind w:left="709" w:hanging="349"/>
      </w:pPr>
    </w:p>
    <w:p w:rsidR="00AB1742" w:rsidRDefault="00AB1742" w:rsidP="006E1971">
      <w:pPr>
        <w:spacing w:line="276" w:lineRule="auto"/>
        <w:ind w:left="709" w:hanging="349"/>
      </w:pPr>
    </w:p>
    <w:p w:rsidR="00AB1742" w:rsidRPr="004F633F" w:rsidRDefault="00AB1742" w:rsidP="006E1971">
      <w:pPr>
        <w:spacing w:line="276" w:lineRule="auto"/>
        <w:ind w:left="360" w:hanging="360"/>
        <w:rPr>
          <w:b/>
          <w:bCs/>
        </w:rPr>
      </w:pPr>
      <w:r w:rsidRPr="004F633F">
        <w:rPr>
          <w:b/>
          <w:bCs/>
        </w:rPr>
        <w:lastRenderedPageBreak/>
        <w:t>4.</w:t>
      </w:r>
      <w:r w:rsidRPr="004F633F">
        <w:rPr>
          <w:b/>
          <w:bCs/>
        </w:rPr>
        <w:tab/>
        <w:t xml:space="preserve">Záväzky Slovenskej republiky vo vzťahu k Európskej únii: </w:t>
      </w:r>
    </w:p>
    <w:p w:rsidR="00AB1742" w:rsidRPr="004F633F" w:rsidRDefault="00AB1742" w:rsidP="006E1971">
      <w:pPr>
        <w:spacing w:line="276" w:lineRule="auto"/>
        <w:rPr>
          <w:rFonts w:cs="Verdana"/>
        </w:rPr>
      </w:pPr>
    </w:p>
    <w:p w:rsidR="009C2354" w:rsidRDefault="00AB1742" w:rsidP="009C2354">
      <w:pPr>
        <w:pStyle w:val="Odsekzoznamu"/>
        <w:numPr>
          <w:ilvl w:val="0"/>
          <w:numId w:val="2"/>
        </w:numPr>
        <w:spacing w:line="276" w:lineRule="auto"/>
      </w:pPr>
      <w:r w:rsidRPr="004F633F">
        <w:t>lehota na prebratie smernice alebo lehota na implementá</w:t>
      </w:r>
      <w:r w:rsidR="009D13ED">
        <w:t>ciu nariadenia alebo rozhodnutia</w:t>
      </w:r>
    </w:p>
    <w:p w:rsidR="00025840" w:rsidRPr="00025840" w:rsidRDefault="00025840" w:rsidP="00025840">
      <w:pPr>
        <w:spacing w:line="276" w:lineRule="auto"/>
        <w:ind w:left="720"/>
        <w:rPr>
          <w:rFonts w:cs="Verdana"/>
        </w:rPr>
      </w:pPr>
      <w:r>
        <w:rPr>
          <w:rFonts w:cs="Verdana"/>
        </w:rPr>
        <w:t>bezpredmetné,</w:t>
      </w:r>
    </w:p>
    <w:p w:rsidR="00025840" w:rsidRPr="00025840" w:rsidRDefault="00AB1742" w:rsidP="00025840">
      <w:pPr>
        <w:pStyle w:val="Odsekzoznamu"/>
        <w:numPr>
          <w:ilvl w:val="0"/>
          <w:numId w:val="2"/>
        </w:numPr>
        <w:spacing w:line="276" w:lineRule="auto"/>
        <w:rPr>
          <w:rFonts w:cs="Verdana"/>
        </w:rPr>
      </w:pPr>
      <w:r w:rsidRPr="00FA0647">
        <w:t>lehota určená na predloženie návrhu právneho predpisu na rokovanie vlády podľa  určenia gestorských ústredných orgánov štátnej správy zodpovedných za transpozíciu smerníc a vypracovanie tabuliek zhody k návrhom všeobecne záväzných právnych predpisov</w:t>
      </w:r>
      <w:bookmarkStart w:id="0" w:name="_GoBack"/>
      <w:bookmarkEnd w:id="0"/>
      <w:r w:rsidRPr="00025840">
        <w:rPr>
          <w:rFonts w:cs="Verdana"/>
        </w:rPr>
        <w:t xml:space="preserve">  </w:t>
      </w:r>
    </w:p>
    <w:p w:rsidR="009C2354" w:rsidRDefault="00025840" w:rsidP="00025840">
      <w:pPr>
        <w:spacing w:line="276" w:lineRule="auto"/>
        <w:ind w:left="720"/>
        <w:rPr>
          <w:rFonts w:cs="Verdana"/>
        </w:rPr>
      </w:pPr>
      <w:r>
        <w:rPr>
          <w:rFonts w:cs="Verdana"/>
        </w:rPr>
        <w:t>bezpredmetné,</w:t>
      </w:r>
    </w:p>
    <w:p w:rsidR="00AB1742" w:rsidRPr="009C2354" w:rsidRDefault="009C2354" w:rsidP="009C2354">
      <w:pPr>
        <w:pStyle w:val="Odsekzoznamu"/>
        <w:numPr>
          <w:ilvl w:val="0"/>
          <w:numId w:val="2"/>
        </w:numPr>
        <w:spacing w:line="276" w:lineRule="auto"/>
        <w:rPr>
          <w:rFonts w:cs="Verdana"/>
        </w:rPr>
      </w:pPr>
      <w:r w:rsidRPr="009C2354">
        <w:rPr>
          <w:rFonts w:ascii="Times" w:hAnsi="Times" w:cs="Times"/>
        </w:rPr>
        <w:t>informácia o konaní začatom proti Slovenskej republike o porušení podľa čl. 258 až 260 Zmluvy o fungovaní Európskej únie</w:t>
      </w:r>
      <w:r w:rsidR="00AB1742" w:rsidRPr="009C2354">
        <w:rPr>
          <w:rFonts w:cs="Verdana"/>
        </w:rPr>
        <w:t xml:space="preserve"> </w:t>
      </w:r>
    </w:p>
    <w:p w:rsidR="009C2354" w:rsidRPr="009C2354" w:rsidRDefault="00845EE3" w:rsidP="009C2354">
      <w:pPr>
        <w:spacing w:line="276" w:lineRule="auto"/>
        <w:ind w:left="720"/>
        <w:rPr>
          <w:rFonts w:cs="Verdana"/>
        </w:rPr>
      </w:pPr>
      <w:r>
        <w:rPr>
          <w:rFonts w:cs="Verdana"/>
        </w:rPr>
        <w:t xml:space="preserve">žaloba Európskej komisie proti Slovenskej republike v súlade s čl. 260 ods. 2 </w:t>
      </w:r>
      <w:r w:rsidRPr="009C2354">
        <w:rPr>
          <w:rFonts w:ascii="Times" w:hAnsi="Times" w:cs="Times"/>
        </w:rPr>
        <w:t>Zmluvy o fungovaní Európskej únie</w:t>
      </w:r>
      <w:r>
        <w:rPr>
          <w:rFonts w:ascii="Times" w:hAnsi="Times" w:cs="Times"/>
        </w:rPr>
        <w:t xml:space="preserve"> na Súdnom dvore Európskej únie č. DC65384</w:t>
      </w:r>
      <w:r w:rsidR="009C2354">
        <w:rPr>
          <w:rFonts w:cs="Verdana"/>
        </w:rPr>
        <w:t>,</w:t>
      </w:r>
    </w:p>
    <w:p w:rsidR="00AB1742" w:rsidRPr="004F633F" w:rsidRDefault="009C2354" w:rsidP="006E1971">
      <w:pPr>
        <w:spacing w:line="276" w:lineRule="auto"/>
        <w:ind w:left="709" w:hanging="349"/>
        <w:rPr>
          <w:rFonts w:cs="Verdana"/>
        </w:rPr>
      </w:pPr>
      <w:r>
        <w:t>d</w:t>
      </w:r>
      <w:r w:rsidR="00AB1742" w:rsidRPr="004F633F">
        <w:t>)</w:t>
      </w:r>
      <w:r w:rsidR="00AB1742" w:rsidRPr="004F633F">
        <w:tab/>
        <w:t>informácia o právnych predpisoch, v ktorých sú preberané smernice už prebraté spolu s uvedením rozsahu tohto prebratia</w:t>
      </w:r>
    </w:p>
    <w:p w:rsidR="00AB1742" w:rsidRDefault="00AB1742" w:rsidP="006E1971">
      <w:pPr>
        <w:spacing w:line="276" w:lineRule="auto"/>
        <w:ind w:left="720"/>
        <w:rPr>
          <w:rFonts w:cs="Verdana"/>
        </w:rPr>
      </w:pPr>
    </w:p>
    <w:p w:rsidR="00AB1742" w:rsidRPr="00AF1269" w:rsidRDefault="00AF1269" w:rsidP="006E1971">
      <w:pPr>
        <w:numPr>
          <w:ilvl w:val="0"/>
          <w:numId w:val="1"/>
        </w:numPr>
        <w:spacing w:line="276" w:lineRule="auto"/>
        <w:jc w:val="both"/>
        <w:rPr>
          <w:rStyle w:val="Zstupntext"/>
          <w:color w:val="000000"/>
        </w:rPr>
      </w:pPr>
      <w:r w:rsidRPr="00AF1269">
        <w:rPr>
          <w:color w:val="111111"/>
        </w:rPr>
        <w:t>Zákon č. 364/2004 Z. z. o vodách a o zmene zákona Slovenskej národnej rady č. 372/1990 Zb. o priestupkoch v znení neskorších predpisov (vodný zákon)</w:t>
      </w:r>
    </w:p>
    <w:p w:rsidR="00AB1742" w:rsidRPr="00AF1269" w:rsidRDefault="00AF1269" w:rsidP="00AF1269">
      <w:pPr>
        <w:numPr>
          <w:ilvl w:val="0"/>
          <w:numId w:val="1"/>
        </w:numPr>
        <w:spacing w:line="276" w:lineRule="auto"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Zákon č. 137/2010 Z. z. o ovzduší v znení neskorších predpisov</w:t>
      </w:r>
    </w:p>
    <w:p w:rsidR="00AB1742" w:rsidRPr="00AF1269" w:rsidRDefault="00AF1269" w:rsidP="006E1971">
      <w:pPr>
        <w:numPr>
          <w:ilvl w:val="0"/>
          <w:numId w:val="1"/>
        </w:numPr>
        <w:spacing w:line="276" w:lineRule="auto"/>
        <w:jc w:val="both"/>
        <w:rPr>
          <w:rStyle w:val="Zstupntext"/>
          <w:color w:val="000000"/>
        </w:rPr>
      </w:pPr>
      <w:r w:rsidRPr="00AF1269">
        <w:rPr>
          <w:color w:val="111111"/>
        </w:rPr>
        <w:t>Zákon č. 39/2013 Z. z. o integrovanej prevencii a kontrole znečisťovania životného prostredia a o zmene a doplnení niektorých zákonov</w:t>
      </w:r>
      <w:r>
        <w:rPr>
          <w:color w:val="111111"/>
        </w:rPr>
        <w:t xml:space="preserve"> v znení neskorších predpisov</w:t>
      </w:r>
    </w:p>
    <w:p w:rsidR="00AB1742" w:rsidRPr="00AF1269" w:rsidRDefault="00AF1269" w:rsidP="006E1971">
      <w:pPr>
        <w:numPr>
          <w:ilvl w:val="0"/>
          <w:numId w:val="1"/>
        </w:numPr>
        <w:spacing w:line="276" w:lineRule="auto"/>
        <w:jc w:val="both"/>
        <w:rPr>
          <w:rStyle w:val="Zstupntext"/>
          <w:color w:val="000000"/>
        </w:rPr>
      </w:pPr>
      <w:r w:rsidRPr="00AF1269">
        <w:rPr>
          <w:color w:val="111111"/>
        </w:rPr>
        <w:t>Zákon č. 79/2015 Z. z. o odpadoch a o zmene a doplnení niektorých zákonov</w:t>
      </w:r>
    </w:p>
    <w:p w:rsidR="00AB1742" w:rsidRPr="009C2354" w:rsidRDefault="00025840" w:rsidP="006E1971">
      <w:pPr>
        <w:numPr>
          <w:ilvl w:val="0"/>
          <w:numId w:val="1"/>
        </w:numPr>
        <w:spacing w:line="276" w:lineRule="auto"/>
        <w:jc w:val="both"/>
        <w:rPr>
          <w:rStyle w:val="Zstupntext"/>
          <w:color w:val="000000"/>
        </w:rPr>
      </w:pPr>
      <w:r>
        <w:rPr>
          <w:color w:val="111111"/>
        </w:rPr>
        <w:t>N</w:t>
      </w:r>
      <w:r w:rsidRPr="00025840">
        <w:rPr>
          <w:color w:val="111111"/>
        </w:rPr>
        <w:t>ariadenie vlády Slovenskej republiky č. 269/2010 Z. z., ktorým sa ustanovujú požiadavky na dosiahnutie dobrého stavu vôd</w:t>
      </w:r>
      <w:r w:rsidR="009C2354">
        <w:rPr>
          <w:color w:val="111111"/>
        </w:rPr>
        <w:t xml:space="preserve"> v znení nariadenia</w:t>
      </w:r>
      <w:r w:rsidR="009C2354" w:rsidRPr="009C2354">
        <w:rPr>
          <w:color w:val="111111"/>
        </w:rPr>
        <w:t xml:space="preserve"> vlády Slovenskej republiky č. 398/2012 Z. z.</w:t>
      </w:r>
      <w:r w:rsidRPr="009C2354">
        <w:rPr>
          <w:color w:val="111111"/>
        </w:rPr>
        <w:t>.</w:t>
      </w:r>
    </w:p>
    <w:p w:rsidR="00AB1742" w:rsidRDefault="00AB1742" w:rsidP="006E1971">
      <w:pPr>
        <w:spacing w:line="276" w:lineRule="auto"/>
        <w:ind w:left="720"/>
      </w:pPr>
    </w:p>
    <w:p w:rsidR="00AB1742" w:rsidRPr="004F633F" w:rsidRDefault="00AB1742" w:rsidP="006E1971">
      <w:pPr>
        <w:spacing w:line="276" w:lineRule="auto"/>
        <w:ind w:left="360" w:hanging="360"/>
        <w:rPr>
          <w:b/>
          <w:bCs/>
        </w:rPr>
      </w:pPr>
      <w:r w:rsidRPr="004F633F">
        <w:rPr>
          <w:b/>
          <w:bCs/>
        </w:rPr>
        <w:t>5.</w:t>
      </w:r>
      <w:r w:rsidRPr="004F633F">
        <w:rPr>
          <w:b/>
          <w:bCs/>
        </w:rPr>
        <w:tab/>
        <w:t>Stupeň zlučiteľnosti návrhu právneho predpisu s právom Európskej únie:</w:t>
      </w:r>
    </w:p>
    <w:p w:rsidR="00AB1742" w:rsidRPr="004F633F" w:rsidRDefault="00AB1742" w:rsidP="006E1971">
      <w:pPr>
        <w:spacing w:line="276" w:lineRule="auto"/>
        <w:ind w:firstLine="360"/>
      </w:pPr>
      <w:r w:rsidRPr="004F633F">
        <w:t>Stupeň zlučiteľnosti - úplný </w:t>
      </w:r>
    </w:p>
    <w:p w:rsidR="00AB1742" w:rsidRDefault="00AB1742" w:rsidP="006E1971">
      <w:pPr>
        <w:spacing w:line="276" w:lineRule="auto"/>
        <w:rPr>
          <w:rFonts w:cs="Verdana"/>
        </w:rPr>
      </w:pPr>
    </w:p>
    <w:p w:rsidR="00AB1742" w:rsidRDefault="00AB1742" w:rsidP="006E1971">
      <w:pPr>
        <w:spacing w:line="276" w:lineRule="auto"/>
        <w:ind w:left="360" w:hanging="360"/>
      </w:pPr>
      <w:r w:rsidRPr="004F633F">
        <w:rPr>
          <w:b/>
          <w:bCs/>
        </w:rPr>
        <w:t>6.</w:t>
      </w:r>
      <w:r w:rsidRPr="004F633F">
        <w:rPr>
          <w:b/>
          <w:bCs/>
        </w:rPr>
        <w:tab/>
        <w:t xml:space="preserve">Gestor a spolupracujúce rezorty: </w:t>
      </w:r>
    </w:p>
    <w:p w:rsidR="001A4770" w:rsidRPr="00AB1742" w:rsidRDefault="00AB1742" w:rsidP="006E1971">
      <w:pPr>
        <w:widowControl/>
        <w:spacing w:after="280" w:afterAutospacing="1" w:line="276" w:lineRule="auto"/>
        <w:ind w:left="360"/>
        <w:rPr>
          <w:b/>
          <w:bCs/>
          <w:caps/>
          <w:color w:val="000000"/>
          <w:spacing w:val="30"/>
        </w:rPr>
      </w:pPr>
      <w:r w:rsidRPr="004F633F">
        <w:t xml:space="preserve">Ministerstvo </w:t>
      </w:r>
      <w:r>
        <w:t xml:space="preserve">životného prostredia </w:t>
      </w:r>
      <w:r w:rsidRPr="004F633F">
        <w:t>Slovenskej republiky</w:t>
      </w:r>
      <w:r w:rsidRPr="004F633F">
        <w:br/>
      </w:r>
    </w:p>
    <w:sectPr w:rsidR="001A4770" w:rsidRPr="00AB1742" w:rsidSect="001A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D2B"/>
    <w:multiLevelType w:val="hybridMultilevel"/>
    <w:tmpl w:val="3CFA9E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655"/>
    <w:multiLevelType w:val="hybridMultilevel"/>
    <w:tmpl w:val="468E03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2"/>
    <w:rsid w:val="00025840"/>
    <w:rsid w:val="00103037"/>
    <w:rsid w:val="00166B8A"/>
    <w:rsid w:val="001A4770"/>
    <w:rsid w:val="001D00C3"/>
    <w:rsid w:val="002377C9"/>
    <w:rsid w:val="00382E99"/>
    <w:rsid w:val="00457AEB"/>
    <w:rsid w:val="004D5DC4"/>
    <w:rsid w:val="006C6F2B"/>
    <w:rsid w:val="006E127E"/>
    <w:rsid w:val="006E1971"/>
    <w:rsid w:val="0070136E"/>
    <w:rsid w:val="00845EE3"/>
    <w:rsid w:val="00855327"/>
    <w:rsid w:val="009B0ADC"/>
    <w:rsid w:val="009C2354"/>
    <w:rsid w:val="009D13ED"/>
    <w:rsid w:val="009D1E3C"/>
    <w:rsid w:val="00A16C23"/>
    <w:rsid w:val="00AB1742"/>
    <w:rsid w:val="00AF1269"/>
    <w:rsid w:val="00BA5CD2"/>
    <w:rsid w:val="00C1497B"/>
    <w:rsid w:val="00D276F5"/>
    <w:rsid w:val="00DD5FB4"/>
    <w:rsid w:val="00F218F7"/>
    <w:rsid w:val="00F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210F4-F8D1-4882-9979-D85F5DD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1742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B1742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85532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E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E3C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2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Zemko</dc:creator>
  <cp:lastModifiedBy>Široký Vladimír</cp:lastModifiedBy>
  <cp:revision>14</cp:revision>
  <cp:lastPrinted>2016-09-30T10:24:00Z</cp:lastPrinted>
  <dcterms:created xsi:type="dcterms:W3CDTF">2016-10-13T11:38:00Z</dcterms:created>
  <dcterms:modified xsi:type="dcterms:W3CDTF">2017-02-22T11:46:00Z</dcterms:modified>
</cp:coreProperties>
</file>