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D2179B" w:rsidRPr="00D2179B" w:rsidRDefault="00D2179B" w:rsidP="00D2179B">
      <w:pPr>
        <w:shd w:val="clear" w:color="auto" w:fill="FFFFFF"/>
        <w:spacing w:after="150" w:line="600" w:lineRule="atLeast"/>
        <w:jc w:val="center"/>
        <w:outlineLvl w:val="0"/>
        <w:divId w:val="645163928"/>
        <w:rPr>
          <w:rFonts w:ascii="Times" w:hAnsi="Times" w:cs="Times"/>
          <w:sz w:val="25"/>
          <w:szCs w:val="25"/>
        </w:rPr>
      </w:pPr>
      <w:r w:rsidRPr="00D2179B">
        <w:rPr>
          <w:rFonts w:ascii="Times" w:hAnsi="Times" w:cs="Times"/>
          <w:sz w:val="25"/>
          <w:szCs w:val="25"/>
        </w:rPr>
        <w:t>Zákon, ktorým sa mení a dopĺňa zákon č. 378/2015 Z. z. o dobrovoľnej vojenskej príprave a o zmene a doplnení niektorých zákonov</w:t>
      </w:r>
    </w:p>
    <w:p w:rsidR="00D2179B" w:rsidRDefault="00D2179B" w:rsidP="00D2179B">
      <w:pPr>
        <w:divId w:val="645163928"/>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758"/>
        <w:gridCol w:w="446"/>
        <w:gridCol w:w="523"/>
        <w:gridCol w:w="3836"/>
      </w:tblGrid>
      <w:tr w:rsidR="00D2179B" w:rsidTr="00726B09">
        <w:trPr>
          <w:divId w:val="64516392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179B" w:rsidRDefault="00D2179B" w:rsidP="00A026B5">
            <w:pPr>
              <w:jc w:val="center"/>
              <w:rPr>
                <w:rFonts w:ascii="Times" w:hAnsi="Times" w:cs="Times"/>
                <w:b/>
                <w:bCs/>
                <w:sz w:val="25"/>
                <w:szCs w:val="25"/>
              </w:rPr>
            </w:pPr>
            <w:r>
              <w:rPr>
                <w:rFonts w:ascii="Times" w:hAnsi="Times" w:cs="Times"/>
                <w:b/>
                <w:bCs/>
                <w:sz w:val="25"/>
                <w:szCs w:val="25"/>
              </w:rPr>
              <w:t>Subjekt</w:t>
            </w:r>
          </w:p>
        </w:tc>
        <w:tc>
          <w:tcPr>
            <w:tcW w:w="2594" w:type="pct"/>
            <w:tcBorders>
              <w:top w:val="outset" w:sz="6" w:space="0" w:color="000000"/>
              <w:left w:val="outset" w:sz="6" w:space="0" w:color="000000"/>
              <w:bottom w:val="outset" w:sz="6" w:space="0" w:color="000000"/>
              <w:right w:val="outset" w:sz="6" w:space="0" w:color="000000"/>
            </w:tcBorders>
            <w:vAlign w:val="center"/>
            <w:hideMark/>
          </w:tcPr>
          <w:p w:rsidR="00D2179B" w:rsidRDefault="00D2179B" w:rsidP="00A026B5">
            <w:pPr>
              <w:jc w:val="center"/>
              <w:rPr>
                <w:rFonts w:ascii="Times" w:hAnsi="Times" w:cs="Times"/>
                <w:b/>
                <w:bCs/>
                <w:sz w:val="25"/>
                <w:szCs w:val="25"/>
              </w:rPr>
            </w:pPr>
            <w:r>
              <w:rPr>
                <w:rFonts w:ascii="Times" w:hAnsi="Times" w:cs="Times"/>
                <w:b/>
                <w:bCs/>
                <w:sz w:val="25"/>
                <w:szCs w:val="25"/>
              </w:rPr>
              <w:t>Pripomienka</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D2179B" w:rsidRDefault="00D2179B" w:rsidP="00A026B5">
            <w:pPr>
              <w:jc w:val="center"/>
              <w:rPr>
                <w:rFonts w:ascii="Times" w:hAnsi="Times" w:cs="Times"/>
                <w:b/>
                <w:bCs/>
                <w:sz w:val="25"/>
                <w:szCs w:val="25"/>
              </w:rPr>
            </w:pPr>
            <w:r>
              <w:rPr>
                <w:rFonts w:ascii="Times" w:hAnsi="Times" w:cs="Times"/>
                <w:b/>
                <w:bCs/>
                <w:sz w:val="25"/>
                <w:szCs w:val="25"/>
              </w:rPr>
              <w:t>Typ</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2179B" w:rsidRDefault="00D2179B" w:rsidP="00A026B5">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179B" w:rsidRDefault="00D2179B" w:rsidP="00A026B5">
            <w:pPr>
              <w:jc w:val="center"/>
              <w:rPr>
                <w:rFonts w:ascii="Times" w:hAnsi="Times" w:cs="Times"/>
                <w:b/>
                <w:bCs/>
                <w:sz w:val="25"/>
                <w:szCs w:val="25"/>
              </w:rPr>
            </w:pPr>
            <w:r>
              <w:rPr>
                <w:rFonts w:ascii="Times" w:hAnsi="Times" w:cs="Times"/>
                <w:b/>
                <w:bCs/>
                <w:sz w:val="25"/>
                <w:szCs w:val="25"/>
              </w:rPr>
              <w:t>Spôsob vyhodnotenia</w:t>
            </w:r>
          </w:p>
        </w:tc>
      </w:tr>
      <w:tr w:rsidR="00D2179B" w:rsidTr="00726B09">
        <w:trPr>
          <w:divId w:val="645163928"/>
          <w:trHeight w:val="21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179B" w:rsidRPr="00D2179B" w:rsidRDefault="000306B3" w:rsidP="00A026B5">
            <w:pPr>
              <w:jc w:val="center"/>
              <w:rPr>
                <w:rFonts w:ascii="Times" w:hAnsi="Times" w:cs="Times"/>
                <w:b/>
                <w:sz w:val="25"/>
                <w:szCs w:val="25"/>
              </w:rPr>
            </w:pPr>
            <w:r>
              <w:rPr>
                <w:rFonts w:ascii="Times" w:hAnsi="Times" w:cs="Times"/>
                <w:b/>
                <w:bCs/>
                <w:sz w:val="25"/>
                <w:szCs w:val="25"/>
              </w:rPr>
              <w:t>AZZZ SR</w:t>
            </w:r>
          </w:p>
        </w:tc>
        <w:tc>
          <w:tcPr>
            <w:tcW w:w="2594" w:type="pct"/>
            <w:tcBorders>
              <w:top w:val="outset" w:sz="6" w:space="0" w:color="000000"/>
              <w:left w:val="outset" w:sz="6" w:space="0" w:color="000000"/>
              <w:bottom w:val="outset" w:sz="6" w:space="0" w:color="000000"/>
              <w:right w:val="outset" w:sz="6" w:space="0" w:color="000000"/>
            </w:tcBorders>
            <w:vAlign w:val="center"/>
            <w:hideMark/>
          </w:tcPr>
          <w:p w:rsidR="00D2179B" w:rsidRDefault="000306B3" w:rsidP="00726B09">
            <w:pPr>
              <w:spacing w:after="0"/>
              <w:ind w:left="83"/>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D2179B" w:rsidRDefault="00D2179B"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2179B" w:rsidRDefault="00D2179B"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179B" w:rsidRPr="007C62EE" w:rsidRDefault="00D2179B" w:rsidP="007C62EE">
            <w:pPr>
              <w:spacing w:after="0"/>
              <w:jc w:val="both"/>
              <w:rPr>
                <w:sz w:val="24"/>
                <w:szCs w:val="24"/>
              </w:rPr>
            </w:pPr>
          </w:p>
        </w:tc>
      </w:tr>
      <w:tr w:rsidR="000306B3" w:rsidTr="00726B09">
        <w:trPr>
          <w:divId w:val="645163928"/>
          <w:trHeight w:val="2164"/>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0306B3" w:rsidP="00A026B5">
            <w:pPr>
              <w:jc w:val="center"/>
              <w:rPr>
                <w:rFonts w:ascii="Times" w:hAnsi="Times" w:cs="Times"/>
                <w:b/>
                <w:sz w:val="25"/>
                <w:szCs w:val="25"/>
              </w:rPr>
            </w:pPr>
            <w:r>
              <w:rPr>
                <w:rFonts w:ascii="Times" w:hAnsi="Times" w:cs="Times"/>
                <w:b/>
                <w:bCs/>
                <w:sz w:val="25"/>
                <w:szCs w:val="25"/>
              </w:rPr>
              <w:t>GPSR</w:t>
            </w:r>
          </w:p>
        </w:tc>
        <w:tc>
          <w:tcPr>
            <w:tcW w:w="2594"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0306B3" w:rsidP="00726B09">
            <w:pPr>
              <w:spacing w:after="0"/>
              <w:ind w:left="83"/>
              <w:rPr>
                <w:rFonts w:ascii="Times" w:hAnsi="Times" w:cs="Times"/>
                <w:sz w:val="25"/>
                <w:szCs w:val="25"/>
              </w:rPr>
            </w:pPr>
            <w:r>
              <w:rPr>
                <w:rFonts w:ascii="Times" w:hAnsi="Times" w:cs="Times"/>
                <w:sz w:val="25"/>
                <w:szCs w:val="25"/>
              </w:rPr>
              <w:t>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0306B3" w:rsidRDefault="00726B09"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306B3" w:rsidRDefault="00726B09"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0306B3" w:rsidRDefault="000306B3" w:rsidP="007C62EE">
            <w:pPr>
              <w:spacing w:after="0"/>
              <w:jc w:val="both"/>
              <w:rPr>
                <w:rFonts w:ascii="Times" w:hAnsi="Times" w:cs="Times"/>
                <w:sz w:val="25"/>
                <w:szCs w:val="25"/>
              </w:rPr>
            </w:pPr>
          </w:p>
        </w:tc>
      </w:tr>
      <w:tr w:rsidR="000306B3" w:rsidTr="00726B09">
        <w:trPr>
          <w:divId w:val="645163928"/>
          <w:trHeight w:val="2164"/>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0306B3" w:rsidP="00A026B5">
            <w:pPr>
              <w:jc w:val="center"/>
              <w:rPr>
                <w:rFonts w:ascii="Times" w:hAnsi="Times" w:cs="Times"/>
                <w:b/>
                <w:sz w:val="25"/>
                <w:szCs w:val="25"/>
              </w:rPr>
            </w:pPr>
            <w:r w:rsidRPr="00D2179B">
              <w:rPr>
                <w:rFonts w:ascii="Times" w:hAnsi="Times" w:cs="Times"/>
                <w:b/>
                <w:sz w:val="25"/>
                <w:szCs w:val="25"/>
              </w:rPr>
              <w:t>MDaV SR</w:t>
            </w:r>
          </w:p>
        </w:tc>
        <w:tc>
          <w:tcPr>
            <w:tcW w:w="2594"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0306B3" w:rsidP="00726B09">
            <w:pPr>
              <w:spacing w:after="0"/>
              <w:ind w:left="83"/>
              <w:rPr>
                <w:rFonts w:ascii="Times" w:hAnsi="Times" w:cs="Times"/>
                <w:sz w:val="25"/>
                <w:szCs w:val="25"/>
              </w:rPr>
            </w:pPr>
            <w:r>
              <w:rPr>
                <w:rFonts w:ascii="Times" w:hAnsi="Times" w:cs="Times"/>
                <w:sz w:val="25"/>
                <w:szCs w:val="25"/>
              </w:rPr>
              <w:t>1</w:t>
            </w:r>
            <w:r w:rsidRPr="00D2179B">
              <w:rPr>
                <w:rFonts w:ascii="Times" w:hAnsi="Times" w:cs="Times"/>
                <w:sz w:val="25"/>
                <w:szCs w:val="25"/>
              </w:rPr>
              <w:t>. V obale materiálu odporúčame v nadpise návrhu zákona slová „z ... 2016“ nahradiť</w:t>
            </w:r>
            <w:r w:rsidR="00726B09">
              <w:rPr>
                <w:rFonts w:ascii="Times" w:hAnsi="Times" w:cs="Times"/>
                <w:sz w:val="25"/>
                <w:szCs w:val="25"/>
              </w:rPr>
              <w:t xml:space="preserve"> slovami „z ... 2017“ a vyplniť p</w:t>
            </w:r>
            <w:r w:rsidRPr="00D2179B">
              <w:rPr>
                <w:rFonts w:ascii="Times" w:hAnsi="Times" w:cs="Times"/>
                <w:sz w:val="25"/>
                <w:szCs w:val="25"/>
              </w:rPr>
              <w:t>redkladateľa</w:t>
            </w:r>
            <w:r>
              <w:rPr>
                <w:rFonts w:ascii="Times" w:hAnsi="Times" w:cs="Times"/>
                <w:sz w:val="25"/>
                <w:szCs w:val="25"/>
              </w:rPr>
              <w:t>.</w:t>
            </w:r>
          </w:p>
        </w:tc>
        <w:tc>
          <w:tcPr>
            <w:tcW w:w="209" w:type="pct"/>
            <w:tcBorders>
              <w:top w:val="outset" w:sz="6" w:space="0" w:color="000000"/>
              <w:left w:val="outset" w:sz="6" w:space="0" w:color="000000"/>
              <w:bottom w:val="outset" w:sz="6" w:space="0" w:color="000000"/>
              <w:right w:val="outset" w:sz="6" w:space="0" w:color="000000"/>
            </w:tcBorders>
            <w:vAlign w:val="center"/>
          </w:tcPr>
          <w:p w:rsidR="000306B3" w:rsidRDefault="000306B3"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306B3" w:rsidRDefault="005C6D36" w:rsidP="00A026B5">
            <w:pPr>
              <w:jc w:val="center"/>
              <w:rPr>
                <w:rFonts w:ascii="Times" w:hAnsi="Times" w:cs="Times"/>
                <w:sz w:val="25"/>
                <w:szCs w:val="25"/>
              </w:rPr>
            </w:pPr>
            <w:r>
              <w:rPr>
                <w:rFonts w:ascii="Times" w:hAnsi="Times" w:cs="Times"/>
                <w:sz w:val="25"/>
                <w:szCs w:val="25"/>
              </w:rPr>
              <w:t>Č</w:t>
            </w:r>
            <w:r w:rsidR="000306B3">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0306B3" w:rsidRPr="005C6D36" w:rsidRDefault="005C6D36" w:rsidP="005C6D36">
            <w:pPr>
              <w:spacing w:after="0"/>
              <w:ind w:left="57"/>
              <w:rPr>
                <w:rFonts w:ascii="Times" w:hAnsi="Times" w:cs="Times"/>
                <w:sz w:val="25"/>
                <w:szCs w:val="25"/>
              </w:rPr>
            </w:pPr>
            <w:r>
              <w:rPr>
                <w:rFonts w:ascii="Times" w:hAnsi="Times" w:cs="Times"/>
                <w:sz w:val="25"/>
                <w:szCs w:val="25"/>
              </w:rPr>
              <w:t>Obal materiálu bol upravený. Podotýkame, že o</w:t>
            </w:r>
            <w:r w:rsidR="000306B3">
              <w:rPr>
                <w:rFonts w:ascii="Times" w:hAnsi="Times" w:cs="Times"/>
                <w:sz w:val="25"/>
                <w:szCs w:val="25"/>
              </w:rPr>
              <w:t xml:space="preserve">bal </w:t>
            </w:r>
            <w:r>
              <w:rPr>
                <w:rFonts w:ascii="Times" w:hAnsi="Times" w:cs="Times"/>
                <w:sz w:val="25"/>
                <w:szCs w:val="25"/>
              </w:rPr>
              <w:t>je</w:t>
            </w:r>
            <w:r w:rsidR="000306B3" w:rsidRPr="007C62EE">
              <w:rPr>
                <w:rFonts w:ascii="Times" w:hAnsi="Times" w:cs="Times"/>
                <w:sz w:val="25"/>
                <w:szCs w:val="25"/>
              </w:rPr>
              <w:t xml:space="preserve"> generovaný automaticky podľa šablón portálu Slov-Lex (materiál bol zverejnený v roku 2016). Kompletný obal materiálu, vrátane predkladateľa, sa zobrazí po povolení úprav </w:t>
            </w:r>
            <w:r w:rsidR="000306B3" w:rsidRPr="007C62EE">
              <w:rPr>
                <w:rFonts w:ascii="Times" w:hAnsi="Times" w:cs="Times"/>
                <w:sz w:val="25"/>
                <w:szCs w:val="25"/>
              </w:rPr>
              <w:lastRenderedPageBreak/>
              <w:t>v chránenom zobrazení a aktualizovaní polí dokumentu.</w:t>
            </w:r>
          </w:p>
        </w:tc>
      </w:tr>
      <w:tr w:rsidR="00D2179B" w:rsidTr="00726B09">
        <w:trPr>
          <w:divId w:val="645163928"/>
          <w:trHeight w:val="95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179B" w:rsidRDefault="005C6D36" w:rsidP="00A026B5">
            <w:pPr>
              <w:jc w:val="center"/>
              <w:rPr>
                <w:rFonts w:ascii="Times" w:hAnsi="Times" w:cs="Times"/>
                <w:b/>
                <w:bCs/>
                <w:sz w:val="25"/>
                <w:szCs w:val="25"/>
              </w:rPr>
            </w:pPr>
            <w:r>
              <w:rPr>
                <w:rFonts w:ascii="Times" w:hAnsi="Times" w:cs="Times"/>
                <w:b/>
                <w:bCs/>
                <w:sz w:val="25"/>
                <w:szCs w:val="25"/>
              </w:rPr>
              <w:lastRenderedPageBreak/>
              <w:t>MDaV</w:t>
            </w:r>
            <w:r w:rsidR="00D2179B">
              <w:rPr>
                <w:rFonts w:ascii="Times" w:hAnsi="Times" w:cs="Times"/>
                <w:b/>
                <w:bCs/>
                <w:sz w:val="25"/>
                <w:szCs w:val="25"/>
              </w:rPr>
              <w:t>SR</w:t>
            </w:r>
          </w:p>
        </w:tc>
        <w:tc>
          <w:tcPr>
            <w:tcW w:w="2594" w:type="pct"/>
            <w:tcBorders>
              <w:top w:val="outset" w:sz="6" w:space="0" w:color="000000"/>
              <w:left w:val="outset" w:sz="6" w:space="0" w:color="000000"/>
              <w:bottom w:val="outset" w:sz="6" w:space="0" w:color="000000"/>
              <w:right w:val="outset" w:sz="6" w:space="0" w:color="000000"/>
            </w:tcBorders>
            <w:vAlign w:val="center"/>
            <w:hideMark/>
          </w:tcPr>
          <w:p w:rsidR="00D2179B" w:rsidRDefault="00D2179B" w:rsidP="00726B09">
            <w:pPr>
              <w:spacing w:after="0"/>
              <w:ind w:left="83"/>
              <w:rPr>
                <w:rFonts w:ascii="Times" w:hAnsi="Times" w:cs="Times"/>
                <w:sz w:val="25"/>
                <w:szCs w:val="25"/>
              </w:rPr>
            </w:pPr>
            <w:r w:rsidRPr="00D2179B">
              <w:rPr>
                <w:rFonts w:ascii="Times" w:hAnsi="Times" w:cs="Times"/>
                <w:sz w:val="25"/>
                <w:szCs w:val="25"/>
              </w:rPr>
              <w:t>2. V nadpise návrhu zákona odporúčame pod slovo „ZÁKON“ vložiť slová „z ..... 2017“.</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D2179B" w:rsidRDefault="00D2179B"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2179B" w:rsidRDefault="00D2179B"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179B" w:rsidRPr="007C62EE" w:rsidRDefault="005C6D36" w:rsidP="00785E6D">
            <w:pPr>
              <w:spacing w:after="0"/>
              <w:ind w:left="53"/>
              <w:rPr>
                <w:sz w:val="24"/>
                <w:szCs w:val="24"/>
              </w:rPr>
            </w:pPr>
            <w:r>
              <w:rPr>
                <w:rFonts w:ascii="Times" w:hAnsi="Times" w:cs="Times"/>
                <w:sz w:val="25"/>
                <w:szCs w:val="25"/>
              </w:rPr>
              <w:t>Vlastný materiál bol upravený. Podotýkame, že výsledná podoba vlastného materiálu je generovaná</w:t>
            </w:r>
            <w:r w:rsidR="007C62EE" w:rsidRPr="007C62EE">
              <w:rPr>
                <w:rFonts w:ascii="Times" w:hAnsi="Times" w:cs="Times"/>
                <w:sz w:val="25"/>
                <w:szCs w:val="25"/>
              </w:rPr>
              <w:t xml:space="preserve"> automaticky podľa šablón portálu Slov-Lex</w:t>
            </w:r>
            <w:r w:rsidR="007C62EE">
              <w:rPr>
                <w:sz w:val="24"/>
                <w:szCs w:val="24"/>
              </w:rPr>
              <w:t>.</w:t>
            </w:r>
          </w:p>
        </w:tc>
      </w:tr>
      <w:tr w:rsidR="00D2179B"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2179B" w:rsidRPr="00D2179B" w:rsidRDefault="005C6D36" w:rsidP="00A026B5">
            <w:pPr>
              <w:jc w:val="center"/>
              <w:rPr>
                <w:rFonts w:ascii="Times" w:hAnsi="Times" w:cs="Times"/>
                <w:b/>
                <w:sz w:val="25"/>
                <w:szCs w:val="25"/>
              </w:rPr>
            </w:pPr>
            <w:r>
              <w:rPr>
                <w:rFonts w:ascii="Times" w:hAnsi="Times" w:cs="Times"/>
                <w:b/>
                <w:sz w:val="25"/>
                <w:szCs w:val="25"/>
              </w:rPr>
              <w:t>MDaV</w:t>
            </w:r>
            <w:r w:rsidR="00D2179B" w:rsidRPr="00D2179B">
              <w:rPr>
                <w:rFonts w:ascii="Times" w:hAnsi="Times" w:cs="Times"/>
                <w:b/>
                <w:sz w:val="25"/>
                <w:szCs w:val="25"/>
              </w:rPr>
              <w:t>SR</w:t>
            </w:r>
          </w:p>
        </w:tc>
        <w:tc>
          <w:tcPr>
            <w:tcW w:w="2594" w:type="pct"/>
            <w:tcBorders>
              <w:top w:val="outset" w:sz="6" w:space="0" w:color="000000"/>
              <w:left w:val="outset" w:sz="6" w:space="0" w:color="000000"/>
              <w:bottom w:val="outset" w:sz="6" w:space="0" w:color="000000"/>
              <w:right w:val="outset" w:sz="6" w:space="0" w:color="000000"/>
            </w:tcBorders>
            <w:vAlign w:val="center"/>
            <w:hideMark/>
          </w:tcPr>
          <w:p w:rsidR="00D2179B" w:rsidRDefault="00D2179B" w:rsidP="00726B09">
            <w:pPr>
              <w:spacing w:after="0"/>
              <w:ind w:left="83"/>
              <w:rPr>
                <w:rFonts w:ascii="Times" w:hAnsi="Times" w:cs="Times"/>
                <w:sz w:val="25"/>
                <w:szCs w:val="25"/>
              </w:rPr>
            </w:pPr>
            <w:r w:rsidRPr="00D2179B">
              <w:rPr>
                <w:rFonts w:ascii="Times" w:hAnsi="Times" w:cs="Times"/>
                <w:sz w:val="25"/>
                <w:szCs w:val="25"/>
              </w:rPr>
              <w:t>3. V doložke zlučiteľnosti odporúčame predkladateľovi vyplniť bod 1 a 2.</w:t>
            </w:r>
          </w:p>
        </w:tc>
        <w:tc>
          <w:tcPr>
            <w:tcW w:w="209" w:type="pct"/>
            <w:tcBorders>
              <w:top w:val="outset" w:sz="6" w:space="0" w:color="000000"/>
              <w:left w:val="outset" w:sz="6" w:space="0" w:color="000000"/>
              <w:bottom w:val="outset" w:sz="6" w:space="0" w:color="000000"/>
              <w:right w:val="outset" w:sz="6" w:space="0" w:color="000000"/>
            </w:tcBorders>
            <w:vAlign w:val="center"/>
            <w:hideMark/>
          </w:tcPr>
          <w:p w:rsidR="00D2179B" w:rsidRDefault="00D2179B"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hideMark/>
          </w:tcPr>
          <w:p w:rsidR="00D2179B" w:rsidRDefault="00D2179B" w:rsidP="00A026B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2179B" w:rsidRPr="007C62EE" w:rsidRDefault="007C62EE" w:rsidP="00785E6D">
            <w:pPr>
              <w:ind w:left="53"/>
              <w:rPr>
                <w:sz w:val="24"/>
                <w:szCs w:val="24"/>
              </w:rPr>
            </w:pPr>
            <w:r w:rsidRPr="007C62EE">
              <w:rPr>
                <w:rFonts w:ascii="Times" w:hAnsi="Times" w:cs="Times"/>
                <w:sz w:val="25"/>
                <w:szCs w:val="25"/>
              </w:rPr>
              <w:t>Body 1 a 2 doložky zlučiteľnosti sa zobrazia po povolení úprav v chránenom zobrazení a aktualizovaní polí dokumentu.</w:t>
            </w:r>
          </w:p>
        </w:tc>
      </w:tr>
      <w:tr w:rsidR="000306B3"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A026B5">
            <w:pPr>
              <w:jc w:val="center"/>
              <w:rPr>
                <w:rFonts w:ascii="Times" w:hAnsi="Times" w:cs="Times"/>
                <w:b/>
                <w:sz w:val="25"/>
                <w:szCs w:val="25"/>
              </w:rPr>
            </w:pPr>
            <w:r>
              <w:rPr>
                <w:rFonts w:ascii="Times" w:hAnsi="Times" w:cs="Times"/>
                <w:b/>
                <w:bCs/>
                <w:sz w:val="25"/>
                <w:szCs w:val="25"/>
              </w:rPr>
              <w:t>MFSR</w:t>
            </w:r>
          </w:p>
        </w:tc>
        <w:tc>
          <w:tcPr>
            <w:tcW w:w="2594"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726B09">
            <w:pPr>
              <w:spacing w:after="0"/>
              <w:ind w:left="83"/>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negatívny vplyv na rozpočet verejnej správy, ktorý je v Analýze vplyvov na rozpočet verejnej správy, na zamestnanosť a financovanie návrhu kvantifikovaný vo výške 29 925 eur ročne je zabezpečený v rozpočte kapitoly Ministerstva obrany SR.</w:t>
            </w:r>
          </w:p>
        </w:tc>
        <w:tc>
          <w:tcPr>
            <w:tcW w:w="209" w:type="pct"/>
            <w:tcBorders>
              <w:top w:val="outset" w:sz="6" w:space="0" w:color="000000"/>
              <w:left w:val="outset" w:sz="6" w:space="0" w:color="000000"/>
              <w:bottom w:val="outset" w:sz="6" w:space="0" w:color="000000"/>
              <w:right w:val="outset" w:sz="6" w:space="0" w:color="000000"/>
            </w:tcBorders>
            <w:vAlign w:val="center"/>
          </w:tcPr>
          <w:p w:rsidR="000306B3" w:rsidRDefault="00726B09"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306B3" w:rsidRDefault="005C6D36"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0306B3" w:rsidRPr="007C62EE" w:rsidRDefault="000306B3" w:rsidP="00785E6D">
            <w:pPr>
              <w:ind w:left="53"/>
              <w:jc w:val="both"/>
              <w:rPr>
                <w:rFonts w:ascii="Times" w:hAnsi="Times" w:cs="Times"/>
                <w:sz w:val="25"/>
                <w:szCs w:val="25"/>
              </w:rPr>
            </w:pPr>
          </w:p>
        </w:tc>
      </w:tr>
      <w:tr w:rsidR="000306B3"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A026B5">
            <w:pPr>
              <w:jc w:val="center"/>
              <w:rPr>
                <w:rFonts w:ascii="Times" w:hAnsi="Times" w:cs="Times"/>
                <w:b/>
                <w:sz w:val="25"/>
                <w:szCs w:val="25"/>
              </w:rPr>
            </w:pPr>
            <w:r>
              <w:rPr>
                <w:rFonts w:ascii="Times" w:hAnsi="Times" w:cs="Times"/>
                <w:b/>
                <w:bCs/>
                <w:sz w:val="25"/>
                <w:szCs w:val="25"/>
              </w:rPr>
              <w:t>MFSR</w:t>
            </w:r>
          </w:p>
        </w:tc>
        <w:tc>
          <w:tcPr>
            <w:tcW w:w="2594"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726B09">
            <w:pPr>
              <w:spacing w:after="0"/>
              <w:ind w:left="83"/>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zákona odporúčam zosúladiť s Legislatívnymi pravidlami vlády SR, napr. názov zákona zosúladiť s bodom 18 prílohy č. 1 týchto pravidiel, v čl. I bode 1 slová „slovo“ a „slovom“ nahradiť </w:t>
            </w:r>
            <w:r>
              <w:rPr>
                <w:rFonts w:ascii="Times" w:hAnsi="Times" w:cs="Times"/>
                <w:sz w:val="25"/>
                <w:szCs w:val="25"/>
              </w:rPr>
              <w:lastRenderedPageBreak/>
              <w:t>slovami „číslo“ a „číslom“. Súčasne odporúčam zvážiť zaradenie prechodného ustanovenia vzhľadom na navrhované zmeny.</w:t>
            </w:r>
          </w:p>
        </w:tc>
        <w:tc>
          <w:tcPr>
            <w:tcW w:w="209" w:type="pct"/>
            <w:tcBorders>
              <w:top w:val="outset" w:sz="6" w:space="0" w:color="000000"/>
              <w:left w:val="outset" w:sz="6" w:space="0" w:color="000000"/>
              <w:bottom w:val="outset" w:sz="6" w:space="0" w:color="000000"/>
              <w:right w:val="outset" w:sz="6" w:space="0" w:color="000000"/>
            </w:tcBorders>
            <w:vAlign w:val="center"/>
          </w:tcPr>
          <w:p w:rsidR="000306B3" w:rsidRDefault="00726B09" w:rsidP="00A026B5">
            <w:pPr>
              <w:jc w:val="center"/>
              <w:rPr>
                <w:rFonts w:ascii="Times" w:hAnsi="Times" w:cs="Times"/>
                <w:sz w:val="25"/>
                <w:szCs w:val="25"/>
              </w:rPr>
            </w:pPr>
            <w:r>
              <w:rPr>
                <w:rFonts w:ascii="Times" w:hAnsi="Times" w:cs="Times"/>
                <w:sz w:val="25"/>
                <w:szCs w:val="25"/>
              </w:rPr>
              <w:lastRenderedPageBreak/>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306B3" w:rsidRDefault="00785E6D" w:rsidP="00A026B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tcPr>
          <w:p w:rsidR="000306B3" w:rsidRPr="007C62EE" w:rsidRDefault="00C07328" w:rsidP="00C20631">
            <w:pPr>
              <w:ind w:left="53"/>
              <w:rPr>
                <w:rFonts w:ascii="Times" w:hAnsi="Times" w:cs="Times"/>
                <w:sz w:val="25"/>
                <w:szCs w:val="25"/>
              </w:rPr>
            </w:pPr>
            <w:r>
              <w:rPr>
                <w:rFonts w:ascii="Times" w:hAnsi="Times" w:cs="Times"/>
                <w:sz w:val="25"/>
                <w:szCs w:val="25"/>
              </w:rPr>
              <w:t xml:space="preserve">Právny vzťah medzi občanom a Slovenskou republikou sa zakladá dohodou o dobrovoľnej vojenskej príprave, k podpisu ktorej dochádza až pri prijatí občana do dobrovoľnej </w:t>
            </w:r>
            <w:r>
              <w:rPr>
                <w:rFonts w:ascii="Times" w:hAnsi="Times" w:cs="Times"/>
                <w:sz w:val="25"/>
                <w:szCs w:val="25"/>
              </w:rPr>
              <w:lastRenderedPageBreak/>
              <w:t xml:space="preserve">vojenskej prípravy. Zaradenie prechodného ustanovenia do návrhu zákona považujeme za nadbytočné z dôvodu, že k podpisu dohôd o dobrovoľnej vojenskej príprave </w:t>
            </w:r>
            <w:r w:rsidR="00FA62A9">
              <w:rPr>
                <w:rFonts w:ascii="Times" w:hAnsi="Times" w:cs="Times"/>
                <w:sz w:val="25"/>
                <w:szCs w:val="25"/>
              </w:rPr>
              <w:t xml:space="preserve">– a teda aj vzniku nárokov vyplývajúcich z tohto právneho vzťahu – bude z organizačného hľadiska dochádzať až po nadobudnutí účinnosti návrhu zákona. Podľa platného zákona č. 378/2015 Z. z. sa bude uskutočňovať iba prijímacie konanie, ktorého podmienky a priebeh navrhovanou právnou úpravou nie sú dotknuté. Ak by tak občan po úspešnom absolvovaní prijímacieho konania uskutočneného podľa doterajších právnych predpisov nesúhlasil s novými podmienkami výkonu dobrovoľnej vojenskej prípravy, dohodu o dobrovoľnej vojenskej príprave podpísať nemusí. </w:t>
            </w:r>
            <w:r w:rsidR="00C20631">
              <w:rPr>
                <w:rFonts w:ascii="Times" w:hAnsi="Times" w:cs="Times"/>
                <w:sz w:val="25"/>
                <w:szCs w:val="25"/>
              </w:rPr>
              <w:t xml:space="preserve">Svojou povahou </w:t>
            </w:r>
            <w:r w:rsidR="00FA62A9">
              <w:rPr>
                <w:rFonts w:ascii="Times" w:hAnsi="Times" w:cs="Times"/>
                <w:sz w:val="25"/>
                <w:szCs w:val="25"/>
              </w:rPr>
              <w:t xml:space="preserve">však </w:t>
            </w:r>
            <w:r w:rsidR="00C20631">
              <w:rPr>
                <w:rFonts w:ascii="Times" w:hAnsi="Times" w:cs="Times"/>
                <w:sz w:val="25"/>
                <w:szCs w:val="25"/>
              </w:rPr>
              <w:t xml:space="preserve">ide </w:t>
            </w:r>
            <w:r w:rsidR="00FA62A9">
              <w:rPr>
                <w:rFonts w:ascii="Times" w:hAnsi="Times" w:cs="Times"/>
                <w:sz w:val="25"/>
                <w:szCs w:val="25"/>
              </w:rPr>
              <w:t>skôr o</w:t>
            </w:r>
            <w:r w:rsidR="00C20631">
              <w:rPr>
                <w:rFonts w:ascii="Times" w:hAnsi="Times" w:cs="Times"/>
                <w:sz w:val="25"/>
                <w:szCs w:val="25"/>
              </w:rPr>
              <w:t xml:space="preserve"> hypotetický </w:t>
            </w:r>
            <w:r w:rsidR="00FA62A9">
              <w:rPr>
                <w:rFonts w:ascii="Times" w:hAnsi="Times" w:cs="Times"/>
                <w:sz w:val="25"/>
                <w:szCs w:val="25"/>
              </w:rPr>
              <w:t xml:space="preserve">problém, nakoľko návrhom zákona sa zavádzajú priaznivejšie podmienky dobrovoľnej vojenskej prípravy – zvyšuje sa výška </w:t>
            </w:r>
            <w:r w:rsidR="00FA62A9">
              <w:rPr>
                <w:rFonts w:ascii="Times" w:hAnsi="Times" w:cs="Times"/>
                <w:sz w:val="25"/>
                <w:szCs w:val="25"/>
              </w:rPr>
              <w:lastRenderedPageBreak/>
              <w:t>príspevku za jej výkon a skracuje sa doba trvania dobrovoľnej vojenskej prípravy.</w:t>
            </w:r>
            <w:r w:rsidR="00C20631">
              <w:rPr>
                <w:rFonts w:ascii="Times" w:hAnsi="Times" w:cs="Times"/>
                <w:sz w:val="25"/>
                <w:szCs w:val="25"/>
              </w:rPr>
              <w:t xml:space="preserve"> Uchádzači o prijatie do dobrovoľnej vojenskej prípravy budú naviac na zmenu niektorých podmienok jej výkonu upozorňovaní už počas prijímacieho konania.  </w:t>
            </w:r>
            <w:r w:rsidR="00FA62A9">
              <w:rPr>
                <w:rFonts w:ascii="Times" w:hAnsi="Times" w:cs="Times"/>
                <w:sz w:val="25"/>
                <w:szCs w:val="25"/>
              </w:rPr>
              <w:t xml:space="preserve">    </w:t>
            </w:r>
            <w:r>
              <w:rPr>
                <w:rFonts w:ascii="Times" w:hAnsi="Times" w:cs="Times"/>
                <w:sz w:val="25"/>
                <w:szCs w:val="25"/>
              </w:rPr>
              <w:t xml:space="preserve"> </w:t>
            </w:r>
          </w:p>
        </w:tc>
      </w:tr>
      <w:tr w:rsidR="000306B3"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A026B5">
            <w:pPr>
              <w:jc w:val="center"/>
              <w:rPr>
                <w:rFonts w:ascii="Times" w:hAnsi="Times" w:cs="Times"/>
                <w:b/>
                <w:sz w:val="25"/>
                <w:szCs w:val="25"/>
              </w:rPr>
            </w:pPr>
            <w:r>
              <w:rPr>
                <w:rFonts w:ascii="Times" w:hAnsi="Times" w:cs="Times"/>
                <w:b/>
                <w:bCs/>
                <w:sz w:val="25"/>
                <w:szCs w:val="25"/>
              </w:rPr>
              <w:lastRenderedPageBreak/>
              <w:t>MFSR</w:t>
            </w:r>
          </w:p>
        </w:tc>
        <w:tc>
          <w:tcPr>
            <w:tcW w:w="2594"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726B09">
            <w:pPr>
              <w:spacing w:after="0"/>
              <w:ind w:left="83"/>
              <w:rPr>
                <w:rFonts w:ascii="Times" w:hAnsi="Times" w:cs="Times"/>
                <w:sz w:val="25"/>
                <w:szCs w:val="25"/>
              </w:rPr>
            </w:pPr>
            <w:r>
              <w:rPr>
                <w:rFonts w:ascii="Times" w:hAnsi="Times" w:cs="Times"/>
                <w:b/>
                <w:bCs/>
                <w:sz w:val="25"/>
                <w:szCs w:val="25"/>
              </w:rPr>
              <w:t>Všeobecne</w:t>
            </w:r>
            <w:r>
              <w:rPr>
                <w:rFonts w:ascii="Times" w:hAnsi="Times" w:cs="Times"/>
                <w:sz w:val="25"/>
                <w:szCs w:val="25"/>
              </w:rPr>
              <w:br/>
              <w:t>Upozorňujem, že v predkladacej správe sa konštatuje úspešné pokračovanie programu, avšak absentujú informácie potvrdzujúce úspešnosť projektu. Taktiež nie je relevantne odôvodnené, prečo práve navrhované zmeny by mali zabezpečiť väčšiu úspešnosť projektu.</w:t>
            </w:r>
          </w:p>
        </w:tc>
        <w:tc>
          <w:tcPr>
            <w:tcW w:w="209" w:type="pct"/>
            <w:tcBorders>
              <w:top w:val="outset" w:sz="6" w:space="0" w:color="000000"/>
              <w:left w:val="outset" w:sz="6" w:space="0" w:color="000000"/>
              <w:bottom w:val="outset" w:sz="6" w:space="0" w:color="000000"/>
              <w:right w:val="outset" w:sz="6" w:space="0" w:color="000000"/>
            </w:tcBorders>
            <w:vAlign w:val="center"/>
          </w:tcPr>
          <w:p w:rsidR="000306B3" w:rsidRDefault="00726B09"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306B3" w:rsidRDefault="00785E6D"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0306B3" w:rsidRPr="007C62EE" w:rsidRDefault="00785E6D" w:rsidP="00785E6D">
            <w:pPr>
              <w:ind w:left="53"/>
              <w:rPr>
                <w:rFonts w:ascii="Times" w:hAnsi="Times" w:cs="Times"/>
                <w:sz w:val="25"/>
                <w:szCs w:val="25"/>
              </w:rPr>
            </w:pPr>
            <w:r>
              <w:rPr>
                <w:rFonts w:ascii="Times" w:hAnsi="Times" w:cs="Times"/>
                <w:sz w:val="25"/>
                <w:szCs w:val="25"/>
              </w:rPr>
              <w:t xml:space="preserve">Znenie predkladacej správy bolo upravené nahradením slova „úspešné“ slovom „plynulé“. </w:t>
            </w:r>
          </w:p>
        </w:tc>
      </w:tr>
      <w:tr w:rsidR="000306B3"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A026B5">
            <w:pPr>
              <w:jc w:val="center"/>
              <w:rPr>
                <w:rFonts w:ascii="Times" w:hAnsi="Times" w:cs="Times"/>
                <w:b/>
                <w:sz w:val="25"/>
                <w:szCs w:val="25"/>
              </w:rPr>
            </w:pPr>
            <w:r>
              <w:rPr>
                <w:rFonts w:ascii="Times" w:hAnsi="Times" w:cs="Times"/>
                <w:b/>
                <w:bCs/>
                <w:sz w:val="25"/>
                <w:szCs w:val="25"/>
              </w:rPr>
              <w:t>MKSR</w:t>
            </w:r>
          </w:p>
        </w:tc>
        <w:tc>
          <w:tcPr>
            <w:tcW w:w="2594"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726B09">
            <w:pPr>
              <w:spacing w:after="0"/>
              <w:ind w:left="83"/>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0306B3" w:rsidRDefault="00726B09"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306B3" w:rsidRDefault="00785E6D"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0306B3" w:rsidRPr="007C62EE" w:rsidRDefault="000306B3" w:rsidP="00785E6D">
            <w:pPr>
              <w:ind w:left="194"/>
              <w:jc w:val="both"/>
              <w:rPr>
                <w:rFonts w:ascii="Times" w:hAnsi="Times" w:cs="Times"/>
                <w:sz w:val="25"/>
                <w:szCs w:val="25"/>
              </w:rPr>
            </w:pPr>
          </w:p>
        </w:tc>
      </w:tr>
      <w:tr w:rsidR="000306B3"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A026B5">
            <w:pPr>
              <w:jc w:val="center"/>
              <w:rPr>
                <w:rFonts w:ascii="Times" w:hAnsi="Times" w:cs="Times"/>
                <w:b/>
                <w:sz w:val="25"/>
                <w:szCs w:val="25"/>
              </w:rPr>
            </w:pPr>
            <w:r>
              <w:rPr>
                <w:rFonts w:ascii="Times" w:hAnsi="Times" w:cs="Times"/>
                <w:b/>
                <w:bCs/>
                <w:sz w:val="25"/>
                <w:szCs w:val="25"/>
              </w:rPr>
              <w:t>MSSR</w:t>
            </w:r>
          </w:p>
        </w:tc>
        <w:tc>
          <w:tcPr>
            <w:tcW w:w="2594"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726B09">
            <w:pPr>
              <w:spacing w:after="0"/>
              <w:ind w:left="83"/>
              <w:rPr>
                <w:rFonts w:ascii="Times" w:hAnsi="Times" w:cs="Times"/>
                <w:sz w:val="25"/>
                <w:szCs w:val="25"/>
              </w:rPr>
            </w:pPr>
            <w:r>
              <w:rPr>
                <w:rFonts w:ascii="Times" w:hAnsi="Times" w:cs="Times"/>
                <w:b/>
                <w:bCs/>
                <w:sz w:val="25"/>
                <w:szCs w:val="25"/>
              </w:rPr>
              <w:t>Obal materiálu</w:t>
            </w:r>
            <w:r>
              <w:rPr>
                <w:rFonts w:ascii="Times" w:hAnsi="Times" w:cs="Times"/>
                <w:sz w:val="25"/>
                <w:szCs w:val="25"/>
              </w:rPr>
              <w:br/>
              <w:t>Odporúčame predkladateľovi nahradiť slová v nadpise návrhu zákona "z ... 2016" slovami "z ... 2017" .</w:t>
            </w:r>
          </w:p>
        </w:tc>
        <w:tc>
          <w:tcPr>
            <w:tcW w:w="209" w:type="pct"/>
            <w:tcBorders>
              <w:top w:val="outset" w:sz="6" w:space="0" w:color="000000"/>
              <w:left w:val="outset" w:sz="6" w:space="0" w:color="000000"/>
              <w:bottom w:val="outset" w:sz="6" w:space="0" w:color="000000"/>
              <w:right w:val="outset" w:sz="6" w:space="0" w:color="000000"/>
            </w:tcBorders>
            <w:vAlign w:val="center"/>
          </w:tcPr>
          <w:p w:rsidR="000306B3" w:rsidRDefault="00726B09"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306B3" w:rsidRDefault="00785E6D"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0306B3" w:rsidRPr="007C62EE" w:rsidRDefault="00785E6D" w:rsidP="00785E6D">
            <w:pPr>
              <w:ind w:left="53"/>
              <w:rPr>
                <w:rFonts w:ascii="Times" w:hAnsi="Times" w:cs="Times"/>
                <w:sz w:val="25"/>
                <w:szCs w:val="25"/>
              </w:rPr>
            </w:pPr>
            <w:r>
              <w:rPr>
                <w:rFonts w:ascii="Times" w:hAnsi="Times" w:cs="Times"/>
                <w:sz w:val="25"/>
                <w:szCs w:val="25"/>
              </w:rPr>
              <w:t>Obal materiálu bol upravený. Podotýkame, že obal je</w:t>
            </w:r>
            <w:r w:rsidRPr="007C62EE">
              <w:rPr>
                <w:rFonts w:ascii="Times" w:hAnsi="Times" w:cs="Times"/>
                <w:sz w:val="25"/>
                <w:szCs w:val="25"/>
              </w:rPr>
              <w:t xml:space="preserve"> generovaný automaticky podľa šablón portálu Slov-Lex (materiál bol zverejnený v roku 2016)</w:t>
            </w:r>
            <w:r w:rsidR="009560EC">
              <w:rPr>
                <w:rFonts w:ascii="Times" w:hAnsi="Times" w:cs="Times"/>
                <w:sz w:val="25"/>
                <w:szCs w:val="25"/>
              </w:rPr>
              <w:t>.</w:t>
            </w:r>
          </w:p>
        </w:tc>
      </w:tr>
      <w:tr w:rsidR="000306B3"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A026B5">
            <w:pPr>
              <w:jc w:val="center"/>
              <w:rPr>
                <w:rFonts w:ascii="Times" w:hAnsi="Times" w:cs="Times"/>
                <w:b/>
                <w:sz w:val="25"/>
                <w:szCs w:val="25"/>
              </w:rPr>
            </w:pPr>
            <w:r>
              <w:rPr>
                <w:rFonts w:ascii="Times" w:hAnsi="Times" w:cs="Times"/>
                <w:b/>
                <w:bCs/>
                <w:sz w:val="25"/>
                <w:szCs w:val="25"/>
              </w:rPr>
              <w:t>MŠVVaŠSR</w:t>
            </w:r>
          </w:p>
        </w:tc>
        <w:tc>
          <w:tcPr>
            <w:tcW w:w="2594"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726B09">
            <w:pPr>
              <w:spacing w:after="0"/>
              <w:ind w:left="83"/>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0306B3" w:rsidRDefault="00726B09"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306B3" w:rsidRDefault="00785E6D"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0306B3" w:rsidRPr="007C62EE" w:rsidRDefault="000306B3" w:rsidP="00785E6D">
            <w:pPr>
              <w:ind w:left="194"/>
              <w:jc w:val="both"/>
              <w:rPr>
                <w:rFonts w:ascii="Times" w:hAnsi="Times" w:cs="Times"/>
                <w:sz w:val="25"/>
                <w:szCs w:val="25"/>
              </w:rPr>
            </w:pPr>
          </w:p>
        </w:tc>
      </w:tr>
      <w:tr w:rsidR="000306B3"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A026B5">
            <w:pPr>
              <w:jc w:val="center"/>
              <w:rPr>
                <w:rFonts w:ascii="Times" w:hAnsi="Times" w:cs="Times"/>
                <w:b/>
                <w:sz w:val="25"/>
                <w:szCs w:val="25"/>
              </w:rPr>
            </w:pPr>
            <w:r>
              <w:rPr>
                <w:rFonts w:ascii="Times" w:hAnsi="Times" w:cs="Times"/>
                <w:b/>
                <w:bCs/>
                <w:sz w:val="25"/>
                <w:szCs w:val="25"/>
              </w:rPr>
              <w:lastRenderedPageBreak/>
              <w:t>MZSR</w:t>
            </w:r>
          </w:p>
        </w:tc>
        <w:tc>
          <w:tcPr>
            <w:tcW w:w="2594"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726B09">
            <w:pPr>
              <w:spacing w:after="0"/>
              <w:ind w:left="83"/>
              <w:rPr>
                <w:rFonts w:ascii="Times" w:hAnsi="Times" w:cs="Times"/>
                <w:sz w:val="25"/>
                <w:szCs w:val="25"/>
              </w:rPr>
            </w:pPr>
            <w:r>
              <w:rPr>
                <w:rFonts w:ascii="Times" w:hAnsi="Times" w:cs="Times"/>
                <w:b/>
                <w:bCs/>
                <w:sz w:val="25"/>
                <w:szCs w:val="25"/>
              </w:rPr>
              <w:t>návrhu ako celku</w:t>
            </w:r>
            <w:r>
              <w:rPr>
                <w:rFonts w:ascii="Times" w:hAnsi="Times" w:cs="Times"/>
                <w:sz w:val="25"/>
                <w:szCs w:val="25"/>
              </w:rPr>
              <w:br/>
              <w:t>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0306B3" w:rsidRDefault="00726B09"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306B3" w:rsidRDefault="00785E6D"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0306B3" w:rsidRPr="007C62EE" w:rsidRDefault="000306B3" w:rsidP="00785E6D">
            <w:pPr>
              <w:ind w:left="194"/>
              <w:jc w:val="both"/>
              <w:rPr>
                <w:rFonts w:ascii="Times" w:hAnsi="Times" w:cs="Times"/>
                <w:sz w:val="25"/>
                <w:szCs w:val="25"/>
              </w:rPr>
            </w:pPr>
          </w:p>
        </w:tc>
      </w:tr>
      <w:tr w:rsidR="000306B3"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A026B5">
            <w:pPr>
              <w:jc w:val="center"/>
              <w:rPr>
                <w:rFonts w:ascii="Times" w:hAnsi="Times" w:cs="Times"/>
                <w:b/>
                <w:sz w:val="25"/>
                <w:szCs w:val="25"/>
              </w:rPr>
            </w:pPr>
            <w:r>
              <w:rPr>
                <w:rFonts w:ascii="Times" w:hAnsi="Times" w:cs="Times"/>
                <w:b/>
                <w:bCs/>
                <w:sz w:val="25"/>
                <w:szCs w:val="25"/>
              </w:rPr>
              <w:t>MZVaEZSR</w:t>
            </w:r>
          </w:p>
        </w:tc>
        <w:tc>
          <w:tcPr>
            <w:tcW w:w="2594"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726B09">
            <w:pPr>
              <w:spacing w:after="0"/>
              <w:ind w:left="83"/>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0306B3" w:rsidRDefault="00726B09"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306B3" w:rsidRDefault="00785E6D"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0306B3" w:rsidRPr="007C62EE" w:rsidRDefault="000306B3" w:rsidP="00785E6D">
            <w:pPr>
              <w:ind w:left="194"/>
              <w:jc w:val="both"/>
              <w:rPr>
                <w:rFonts w:ascii="Times" w:hAnsi="Times" w:cs="Times"/>
                <w:sz w:val="25"/>
                <w:szCs w:val="25"/>
              </w:rPr>
            </w:pPr>
          </w:p>
        </w:tc>
      </w:tr>
      <w:tr w:rsidR="000306B3"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A026B5">
            <w:pPr>
              <w:jc w:val="center"/>
              <w:rPr>
                <w:rFonts w:ascii="Times" w:hAnsi="Times" w:cs="Times"/>
                <w:b/>
                <w:sz w:val="25"/>
                <w:szCs w:val="25"/>
              </w:rPr>
            </w:pPr>
            <w:r>
              <w:rPr>
                <w:rFonts w:ascii="Times" w:hAnsi="Times" w:cs="Times"/>
                <w:b/>
                <w:bCs/>
                <w:sz w:val="25"/>
                <w:szCs w:val="25"/>
              </w:rPr>
              <w:t>MŽPSR</w:t>
            </w:r>
          </w:p>
        </w:tc>
        <w:tc>
          <w:tcPr>
            <w:tcW w:w="2594" w:type="pct"/>
            <w:tcBorders>
              <w:top w:val="outset" w:sz="6" w:space="0" w:color="000000"/>
              <w:left w:val="outset" w:sz="6" w:space="0" w:color="000000"/>
              <w:bottom w:val="outset" w:sz="6" w:space="0" w:color="000000"/>
              <w:right w:val="outset" w:sz="6" w:space="0" w:color="000000"/>
            </w:tcBorders>
            <w:vAlign w:val="center"/>
          </w:tcPr>
          <w:p w:rsidR="000306B3" w:rsidRPr="00D2179B" w:rsidRDefault="00726B09" w:rsidP="00726B09">
            <w:pPr>
              <w:spacing w:after="0"/>
              <w:ind w:left="83"/>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0306B3" w:rsidRDefault="00726B09"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0306B3" w:rsidRDefault="00785E6D"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0306B3" w:rsidRPr="007C62EE" w:rsidRDefault="000306B3" w:rsidP="00785E6D">
            <w:pPr>
              <w:ind w:left="194"/>
              <w:jc w:val="both"/>
              <w:rPr>
                <w:rFonts w:ascii="Times" w:hAnsi="Times" w:cs="Times"/>
                <w:sz w:val="25"/>
                <w:szCs w:val="25"/>
              </w:rPr>
            </w:pP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b/>
                <w:bCs/>
                <w:sz w:val="25"/>
                <w:szCs w:val="25"/>
              </w:rPr>
            </w:pPr>
            <w:r>
              <w:rPr>
                <w:rFonts w:ascii="Times" w:hAnsi="Times" w:cs="Times"/>
                <w:b/>
                <w:bCs/>
                <w:sz w:val="25"/>
                <w:szCs w:val="25"/>
              </w:rPr>
              <w:t>NBS</w:t>
            </w: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Default="00726B09" w:rsidP="00726B09">
            <w:pPr>
              <w:spacing w:after="0"/>
              <w:ind w:left="83"/>
              <w:rPr>
                <w:rFonts w:ascii="Times" w:hAnsi="Times" w:cs="Times"/>
                <w:b/>
                <w:bCs/>
                <w:sz w:val="25"/>
                <w:szCs w:val="25"/>
              </w:rPr>
            </w:pPr>
            <w:r>
              <w:rPr>
                <w:rFonts w:ascii="Times" w:hAnsi="Times" w:cs="Times"/>
                <w:b/>
                <w:bCs/>
                <w:sz w:val="25"/>
                <w:szCs w:val="25"/>
              </w:rPr>
              <w:t>celému materiálu</w:t>
            </w:r>
            <w:r>
              <w:rPr>
                <w:rFonts w:ascii="Times" w:hAnsi="Times" w:cs="Times"/>
                <w:sz w:val="25"/>
                <w:szCs w:val="25"/>
              </w:rPr>
              <w:br/>
              <w:t>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Default="00785E6D"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26B09" w:rsidRPr="007C62EE" w:rsidRDefault="00726B09" w:rsidP="00785E6D">
            <w:pPr>
              <w:ind w:left="194"/>
              <w:jc w:val="both"/>
              <w:rPr>
                <w:rFonts w:ascii="Times" w:hAnsi="Times" w:cs="Times"/>
                <w:sz w:val="25"/>
                <w:szCs w:val="25"/>
              </w:rPr>
            </w:pP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b/>
                <w:bCs/>
                <w:sz w:val="25"/>
                <w:szCs w:val="25"/>
              </w:rPr>
            </w:pPr>
            <w:r>
              <w:rPr>
                <w:rFonts w:ascii="Times" w:hAnsi="Times" w:cs="Times"/>
                <w:b/>
                <w:bCs/>
                <w:sz w:val="25"/>
                <w:szCs w:val="25"/>
              </w:rPr>
              <w:t>OAPSVLÚVSR</w:t>
            </w:r>
          </w:p>
          <w:p w:rsidR="00726B09" w:rsidRDefault="00726B09" w:rsidP="00726B09">
            <w:pPr>
              <w:rPr>
                <w:rFonts w:ascii="Times" w:hAnsi="Times" w:cs="Times"/>
                <w:b/>
                <w:bCs/>
                <w:sz w:val="25"/>
                <w:szCs w:val="25"/>
              </w:rPr>
            </w:pP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Default="00726B09" w:rsidP="00726B09">
            <w:pPr>
              <w:spacing w:after="0"/>
              <w:ind w:left="83"/>
              <w:rPr>
                <w:rFonts w:ascii="Times" w:hAnsi="Times" w:cs="Times"/>
                <w:b/>
                <w:bCs/>
                <w:sz w:val="25"/>
                <w:szCs w:val="25"/>
              </w:rPr>
            </w:pPr>
            <w:r>
              <w:rPr>
                <w:rFonts w:ascii="Times" w:hAnsi="Times" w:cs="Times"/>
                <w:b/>
                <w:bCs/>
                <w:sz w:val="25"/>
                <w:szCs w:val="25"/>
              </w:rPr>
              <w:t>celému materiálu</w:t>
            </w:r>
            <w:r>
              <w:rPr>
                <w:rFonts w:ascii="Times" w:hAnsi="Times" w:cs="Times"/>
                <w:sz w:val="25"/>
                <w:szCs w:val="25"/>
              </w:rPr>
              <w:br/>
              <w:t>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Default="00785E6D"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26B09" w:rsidRPr="007C62EE" w:rsidRDefault="00726B09" w:rsidP="00785E6D">
            <w:pPr>
              <w:ind w:left="194"/>
              <w:jc w:val="both"/>
              <w:rPr>
                <w:rFonts w:ascii="Times" w:hAnsi="Times" w:cs="Times"/>
                <w:sz w:val="25"/>
                <w:szCs w:val="25"/>
              </w:rPr>
            </w:pP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b/>
                <w:bCs/>
                <w:sz w:val="25"/>
                <w:szCs w:val="25"/>
              </w:rPr>
            </w:pPr>
            <w:r>
              <w:rPr>
                <w:rFonts w:ascii="Times" w:hAnsi="Times" w:cs="Times"/>
                <w:b/>
                <w:bCs/>
                <w:sz w:val="25"/>
                <w:szCs w:val="25"/>
              </w:rPr>
              <w:t>PMÚSR</w:t>
            </w: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Default="00726B09" w:rsidP="00726B09">
            <w:pPr>
              <w:spacing w:after="0"/>
              <w:ind w:left="83"/>
              <w:rPr>
                <w:rFonts w:ascii="Times" w:hAnsi="Times" w:cs="Times"/>
                <w:b/>
                <w:bCs/>
                <w:sz w:val="25"/>
                <w:szCs w:val="25"/>
              </w:rPr>
            </w:pPr>
            <w:r>
              <w:rPr>
                <w:rFonts w:ascii="Times" w:hAnsi="Times" w:cs="Times"/>
                <w:b/>
                <w:bCs/>
                <w:sz w:val="25"/>
                <w:szCs w:val="25"/>
              </w:rPr>
              <w:t>celému materiálu</w:t>
            </w:r>
            <w:r>
              <w:rPr>
                <w:rFonts w:ascii="Times" w:hAnsi="Times" w:cs="Times"/>
                <w:sz w:val="25"/>
                <w:szCs w:val="25"/>
              </w:rPr>
              <w:br/>
              <w:t>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Default="00785E6D"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26B09" w:rsidRPr="007C62EE" w:rsidRDefault="00726B09" w:rsidP="00785E6D">
            <w:pPr>
              <w:ind w:left="194"/>
              <w:jc w:val="both"/>
              <w:rPr>
                <w:rFonts w:ascii="Times" w:hAnsi="Times" w:cs="Times"/>
                <w:sz w:val="25"/>
                <w:szCs w:val="25"/>
              </w:rPr>
            </w:pP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b/>
                <w:bCs/>
                <w:sz w:val="25"/>
                <w:szCs w:val="25"/>
              </w:rPr>
            </w:pPr>
            <w:r>
              <w:rPr>
                <w:rFonts w:ascii="Times" w:hAnsi="Times" w:cs="Times"/>
                <w:b/>
                <w:bCs/>
                <w:sz w:val="25"/>
                <w:szCs w:val="25"/>
              </w:rPr>
              <w:t>SOCPOIST</w:t>
            </w: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Default="00726B09" w:rsidP="00726B09">
            <w:pPr>
              <w:spacing w:after="0"/>
              <w:ind w:left="83"/>
              <w:rPr>
                <w:rFonts w:ascii="Times" w:hAnsi="Times" w:cs="Times"/>
                <w:b/>
                <w:bCs/>
                <w:sz w:val="25"/>
                <w:szCs w:val="25"/>
              </w:rPr>
            </w:pPr>
            <w:r>
              <w:rPr>
                <w:rFonts w:ascii="Times" w:hAnsi="Times" w:cs="Times"/>
                <w:b/>
                <w:bCs/>
                <w:sz w:val="25"/>
                <w:szCs w:val="25"/>
              </w:rPr>
              <w:t>Čl. I bod 3</w:t>
            </w:r>
            <w:r>
              <w:rPr>
                <w:rFonts w:ascii="Times" w:hAnsi="Times" w:cs="Times"/>
                <w:sz w:val="25"/>
                <w:szCs w:val="25"/>
              </w:rPr>
              <w:br/>
              <w:t xml:space="preserve">K článku I, k bodu 3 (§ 11 ods. 3) Podľa navrhovaného § 11 ods. 3 veliteľ výcvikového zariadenia môže určiť, v ktorých výcvikových dňoch sa výcvik dobrovoľnej prípravy neuskutoční, </w:t>
            </w:r>
            <w:r>
              <w:rPr>
                <w:rFonts w:ascii="Times" w:hAnsi="Times" w:cs="Times"/>
                <w:sz w:val="25"/>
                <w:szCs w:val="25"/>
              </w:rPr>
              <w:lastRenderedPageBreak/>
              <w:t xml:space="preserve">avšak z ďalšieho znenia návrhu zákona nie je zrejmé, či aj takýto deň sa považuje za obdobie (súvislý časový úsek) dobrovoľnej vojenskej prípravy na účely § 2 ods. 3 písm. d) zákona č. 378/2015 Z. z. o dobrovoľnej vojenskej príprave. Ak by sa dni, počas ktorých sa výcvik dobrovoľnej vojenskej prípravy vojaka neuskutoční, nepovažovali za súvislé obdobie dobrovoľnej vojenskej prípravy, prípadné prerušenie trvania dobrovoľnej vojenskej prípravy vojaka, by malo za následok aj prerušenie trvania jeho povinného dôchodkového poistenia štátu s následným vznikom oznamovacej povinnosti všetkých dotknutých subjektov (Ministerstvo obrany SR, SZČO, zamestnávateľ). Obdobie trvania dobrovoľnej vojenskej prípravy má zásadný vplyv aj na prerušenie povinného sociálneho poistenia SZČO, aj zamestnanca. Podľa § 26 ods. 4 zákona o sociálnom poistení povinné poistenie SZČO sa prerušuje počas trvania dobrovoľnej vojenskej prípravy, ak v tomto období podľa svojho vyhlásenia činnosť SZČO nevykonáva; v období, počas ktorého by vojak dobrovoľnej vojenskej prípravy dobrovoľnú vojenskú prípravu nevykonával, by dochádzalo „k obnove“ povinného sociálneho poistenia SZČO (pre SZČO vzniká povinnosť oznámiť zánik prerušenia a „opätovný“ vznik prerušenia). Zamestnanec podľa Zákonníka práce môže za účelom výkonu dobrovoľnej vojenskej prípravy požiadať svojho zamestnávateľa o poskytnutie pracovného voľna. Za predpokladu, že by zamestnanec čerpal u svojho zamestnávateľa pracovné voľno bez náhrady mzdy z dôvodu výkonu činnosti vojaka dobrovoľnej vojenskej prípravy, zamestnávateľ má povinnosť nahlásiť Sociálnej poisťovni prerušenie povinného sociálneho poistenia. Ak by zamestnanec </w:t>
            </w:r>
            <w:r>
              <w:rPr>
                <w:rFonts w:ascii="Times" w:hAnsi="Times" w:cs="Times"/>
                <w:sz w:val="25"/>
                <w:szCs w:val="25"/>
              </w:rPr>
              <w:lastRenderedPageBreak/>
              <w:t>dobrovoľnú vojenskú činnosť nevykonával, taktiež by došlo k „obnove“ sociálneho poistenia zamestnanca. Zamestnávateľovi vzniká povinnosť oznámiť zánik prerušenia povinného sociálneho poistenia a následne „opätovný“ vznik prerušenia povinného sociálneho poistenia. Vzhľadom na uvedené, za účelom eliminovania problémov v aplikačnej praxi navrhujeme znenie § 11 ods. 3 návrhu zákona vo vzťahu k § 2 ods. 3 písm. d) zákona č. 378/2015 Z. z. jednoznačne upraviť tak, aby sa aj dni, počas ktorých sa výcvik dobrovoľnej vojenskej prípravy vojaka neuskutoční, považovali za súvislé obdobie trvania dobrovoľnej vojenskej prípravy. Túto pripomienku považujeme za zásadnú.</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sz w:val="25"/>
                <w:szCs w:val="25"/>
              </w:rPr>
            </w:pPr>
            <w:r>
              <w:rPr>
                <w:rFonts w:ascii="Times" w:hAnsi="Times" w:cs="Times"/>
                <w:sz w:val="25"/>
                <w:szCs w:val="25"/>
              </w:rPr>
              <w:lastRenderedPageBreak/>
              <w:t>Z</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Default="00785E6D" w:rsidP="00A026B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tcPr>
          <w:p w:rsidR="00872226" w:rsidRDefault="00872226" w:rsidP="00872226">
            <w:pPr>
              <w:ind w:left="53"/>
              <w:rPr>
                <w:rFonts w:ascii="Times" w:hAnsi="Times" w:cs="Times"/>
                <w:sz w:val="25"/>
                <w:szCs w:val="25"/>
              </w:rPr>
            </w:pPr>
            <w:r>
              <w:rPr>
                <w:rFonts w:ascii="Times" w:hAnsi="Times" w:cs="Times"/>
                <w:sz w:val="25"/>
                <w:szCs w:val="25"/>
              </w:rPr>
              <w:t xml:space="preserve">Dobrovoľná vojenská príprava sa vykonáva v jednotlivých výcvikových týždňoch podľa denného poriadku určeného </w:t>
            </w:r>
            <w:r>
              <w:rPr>
                <w:rFonts w:ascii="Times" w:hAnsi="Times" w:cs="Times"/>
                <w:sz w:val="25"/>
                <w:szCs w:val="25"/>
              </w:rPr>
              <w:lastRenderedPageBreak/>
              <w:t xml:space="preserve">veliteľom výcvikového zariadenia. Výcvikový týždeň sa rozvrhuje na sedem výcvikových dní, pričom každý z týchto dní sa v princípe člení na čas výcviku, čas plnenia úloh denného režimu, čas odpočinku a prestávky na jedenie a oddych. Navrhovanou zmenou sa docieli stav, v ktorom môže veliteľ určiť, že v konkrétny deň sa výcvik neuskutoční, najmä ak by to bolo z </w:t>
            </w:r>
            <w:r w:rsidRPr="00872226">
              <w:rPr>
                <w:rFonts w:ascii="Times" w:hAnsi="Times" w:cs="Times"/>
                <w:sz w:val="25"/>
                <w:szCs w:val="25"/>
              </w:rPr>
              <w:t>pohľadu rozhrnutia výcvikového týždňa a režimu výcvikového zariadenia účelnejšie</w:t>
            </w:r>
            <w:r>
              <w:rPr>
                <w:rFonts w:ascii="Times" w:hAnsi="Times" w:cs="Times"/>
                <w:sz w:val="25"/>
                <w:szCs w:val="25"/>
              </w:rPr>
              <w:t>, resp. ak výcvikový deň pripadne na sobotu, nedeľu alebo sviatok</w:t>
            </w:r>
            <w:r w:rsidRPr="00872226">
              <w:rPr>
                <w:rFonts w:ascii="Times" w:hAnsi="Times" w:cs="Times"/>
                <w:sz w:val="25"/>
                <w:szCs w:val="25"/>
              </w:rPr>
              <w:t>, ktorý je dňom pracovného pokoja</w:t>
            </w:r>
            <w:r>
              <w:rPr>
                <w:rFonts w:ascii="Times" w:hAnsi="Times" w:cs="Times"/>
                <w:sz w:val="25"/>
                <w:szCs w:val="25"/>
              </w:rPr>
              <w:t xml:space="preserve">. Ani v týchto prípadoch však takýto deň nestráca povahu výcvikového dňa. Tým ostáva naďalej, aj keby daný deň pozostával iba z plnenia úloh denného režimu (napr. ošetrenie vojenskej výzbroje alebo vojenského výstroja) a prestávok na jedenie, oddych a času odpočinku. Navrhovaná zmena teda nemá dopad na povahu doby trvania dobrovoľnej vojenskej prípravy. Tá ostáva aj </w:t>
            </w:r>
            <w:r>
              <w:rPr>
                <w:rFonts w:ascii="Times" w:hAnsi="Times" w:cs="Times"/>
                <w:sz w:val="25"/>
                <w:szCs w:val="25"/>
              </w:rPr>
              <w:lastRenderedPageBreak/>
              <w:t xml:space="preserve">naďalej súvislým časovým úsekom, po novom v trvaní 11 týždňov. </w:t>
            </w:r>
          </w:p>
          <w:p w:rsidR="00726B09" w:rsidRPr="007C62EE" w:rsidRDefault="00785E6D" w:rsidP="00081F33">
            <w:pPr>
              <w:ind w:left="53"/>
              <w:rPr>
                <w:rFonts w:ascii="Times" w:hAnsi="Times" w:cs="Times"/>
                <w:sz w:val="25"/>
                <w:szCs w:val="25"/>
              </w:rPr>
            </w:pPr>
            <w:r w:rsidRPr="00785E6D">
              <w:rPr>
                <w:rFonts w:ascii="Times" w:hAnsi="Times" w:cs="Times"/>
                <w:sz w:val="25"/>
                <w:szCs w:val="25"/>
              </w:rPr>
              <w:t>Rozpor b</w:t>
            </w:r>
            <w:r w:rsidR="00872226">
              <w:rPr>
                <w:rFonts w:ascii="Times" w:hAnsi="Times" w:cs="Times"/>
                <w:sz w:val="25"/>
                <w:szCs w:val="25"/>
              </w:rPr>
              <w:t xml:space="preserve">ol po vysvetlení odstránený </w:t>
            </w:r>
            <w:r w:rsidR="00081F33">
              <w:rPr>
                <w:rFonts w:ascii="Times" w:hAnsi="Times" w:cs="Times"/>
                <w:sz w:val="25"/>
                <w:szCs w:val="25"/>
              </w:rPr>
              <w:t xml:space="preserve">na rozporovom konaní </w:t>
            </w:r>
            <w:r w:rsidR="00872226">
              <w:rPr>
                <w:rFonts w:ascii="Times" w:hAnsi="Times" w:cs="Times"/>
                <w:sz w:val="25"/>
                <w:szCs w:val="25"/>
              </w:rPr>
              <w:t>23. januára 2017</w:t>
            </w:r>
            <w:r w:rsidRPr="00785E6D">
              <w:rPr>
                <w:rFonts w:ascii="Times" w:hAnsi="Times" w:cs="Times"/>
                <w:sz w:val="25"/>
                <w:szCs w:val="25"/>
              </w:rPr>
              <w:t xml:space="preserve">.  </w:t>
            </w: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b/>
                <w:bCs/>
                <w:sz w:val="25"/>
                <w:szCs w:val="25"/>
              </w:rPr>
            </w:pPr>
            <w:r>
              <w:rPr>
                <w:rFonts w:ascii="Times" w:hAnsi="Times" w:cs="Times"/>
                <w:b/>
                <w:bCs/>
                <w:sz w:val="25"/>
                <w:szCs w:val="25"/>
              </w:rPr>
              <w:lastRenderedPageBreak/>
              <w:t>SŠHRSR</w:t>
            </w: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Default="00726B09" w:rsidP="00726B09">
            <w:pPr>
              <w:spacing w:after="0"/>
              <w:ind w:left="83"/>
              <w:rPr>
                <w:rFonts w:ascii="Times" w:hAnsi="Times" w:cs="Times"/>
                <w:b/>
                <w:bCs/>
                <w:sz w:val="25"/>
                <w:szCs w:val="25"/>
              </w:rPr>
            </w:pPr>
            <w:r>
              <w:rPr>
                <w:rFonts w:ascii="Times" w:hAnsi="Times" w:cs="Times"/>
                <w:b/>
                <w:bCs/>
                <w:sz w:val="25"/>
                <w:szCs w:val="25"/>
              </w:rPr>
              <w:t>celému materiálu</w:t>
            </w:r>
            <w:r>
              <w:rPr>
                <w:rFonts w:ascii="Times" w:hAnsi="Times" w:cs="Times"/>
                <w:sz w:val="25"/>
                <w:szCs w:val="25"/>
              </w:rPr>
              <w:br/>
              <w:t>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26B09" w:rsidRPr="007C62EE" w:rsidRDefault="00726B09" w:rsidP="00785E6D">
            <w:pPr>
              <w:ind w:left="194"/>
              <w:jc w:val="both"/>
              <w:rPr>
                <w:rFonts w:ascii="Times" w:hAnsi="Times" w:cs="Times"/>
                <w:sz w:val="25"/>
                <w:szCs w:val="25"/>
              </w:rPr>
            </w:pP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b/>
                <w:bCs/>
                <w:sz w:val="25"/>
                <w:szCs w:val="25"/>
              </w:rPr>
            </w:pPr>
            <w:r>
              <w:rPr>
                <w:rFonts w:ascii="Times" w:hAnsi="Times" w:cs="Times"/>
                <w:b/>
                <w:bCs/>
                <w:sz w:val="25"/>
                <w:szCs w:val="25"/>
              </w:rPr>
              <w:t>ÚJDSR</w:t>
            </w: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Default="00726B09" w:rsidP="00726B09">
            <w:pPr>
              <w:spacing w:after="0"/>
              <w:ind w:left="83"/>
              <w:rPr>
                <w:rFonts w:ascii="Times" w:hAnsi="Times" w:cs="Times"/>
                <w:b/>
                <w:bCs/>
                <w:sz w:val="25"/>
                <w:szCs w:val="25"/>
              </w:rPr>
            </w:pPr>
            <w:r>
              <w:rPr>
                <w:rFonts w:ascii="Times" w:hAnsi="Times" w:cs="Times"/>
                <w:b/>
                <w:bCs/>
                <w:sz w:val="25"/>
                <w:szCs w:val="25"/>
              </w:rPr>
              <w:t>celému materiálu</w:t>
            </w:r>
            <w:r>
              <w:rPr>
                <w:rFonts w:ascii="Times" w:hAnsi="Times" w:cs="Times"/>
                <w:sz w:val="25"/>
                <w:szCs w:val="25"/>
              </w:rPr>
              <w:br/>
              <w:t>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26B09" w:rsidRPr="007C62EE" w:rsidRDefault="00726B09" w:rsidP="00785E6D">
            <w:pPr>
              <w:ind w:left="194"/>
              <w:jc w:val="both"/>
              <w:rPr>
                <w:rFonts w:ascii="Times" w:hAnsi="Times" w:cs="Times"/>
                <w:sz w:val="25"/>
                <w:szCs w:val="25"/>
              </w:rPr>
            </w:pP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b/>
                <w:bCs/>
                <w:sz w:val="25"/>
                <w:szCs w:val="25"/>
              </w:rPr>
            </w:pPr>
            <w:r>
              <w:rPr>
                <w:rFonts w:ascii="Times" w:hAnsi="Times" w:cs="Times"/>
                <w:b/>
                <w:bCs/>
                <w:sz w:val="25"/>
                <w:szCs w:val="25"/>
              </w:rPr>
              <w:t>ÚNMSSR</w:t>
            </w: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Default="00726B09" w:rsidP="00726B09">
            <w:pPr>
              <w:spacing w:after="0"/>
              <w:ind w:left="83"/>
              <w:rPr>
                <w:rFonts w:ascii="Times" w:hAnsi="Times" w:cs="Times"/>
                <w:b/>
                <w:bCs/>
                <w:sz w:val="25"/>
                <w:szCs w:val="25"/>
              </w:rPr>
            </w:pPr>
            <w:r>
              <w:rPr>
                <w:rFonts w:ascii="Times" w:hAnsi="Times" w:cs="Times"/>
                <w:b/>
                <w:bCs/>
                <w:sz w:val="25"/>
                <w:szCs w:val="25"/>
              </w:rPr>
              <w:t>celému materiálu</w:t>
            </w:r>
            <w:r>
              <w:rPr>
                <w:rFonts w:ascii="Times" w:hAnsi="Times" w:cs="Times"/>
                <w:sz w:val="25"/>
                <w:szCs w:val="25"/>
              </w:rPr>
              <w:br/>
              <w:t>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26B09" w:rsidRPr="007C62EE" w:rsidRDefault="00726B09" w:rsidP="00785E6D">
            <w:pPr>
              <w:ind w:left="194"/>
              <w:jc w:val="both"/>
              <w:rPr>
                <w:rFonts w:ascii="Times" w:hAnsi="Times" w:cs="Times"/>
                <w:sz w:val="25"/>
                <w:szCs w:val="25"/>
              </w:rPr>
            </w:pP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b/>
                <w:bCs/>
                <w:sz w:val="25"/>
                <w:szCs w:val="25"/>
              </w:rPr>
            </w:pPr>
            <w:r>
              <w:rPr>
                <w:rFonts w:ascii="Times" w:hAnsi="Times" w:cs="Times"/>
                <w:b/>
                <w:bCs/>
                <w:sz w:val="25"/>
                <w:szCs w:val="25"/>
              </w:rPr>
              <w:t>ÚPPVII</w:t>
            </w: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Default="00726B09" w:rsidP="00726B09">
            <w:pPr>
              <w:spacing w:after="0"/>
              <w:ind w:left="83"/>
              <w:rPr>
                <w:rFonts w:ascii="Times" w:hAnsi="Times" w:cs="Times"/>
                <w:b/>
                <w:bCs/>
                <w:sz w:val="25"/>
                <w:szCs w:val="25"/>
              </w:rPr>
            </w:pPr>
            <w:r>
              <w:rPr>
                <w:rFonts w:ascii="Times" w:hAnsi="Times" w:cs="Times"/>
                <w:b/>
                <w:bCs/>
                <w:sz w:val="25"/>
                <w:szCs w:val="25"/>
              </w:rPr>
              <w:t>celému materiálu</w:t>
            </w:r>
            <w:r>
              <w:rPr>
                <w:rFonts w:ascii="Times" w:hAnsi="Times" w:cs="Times"/>
                <w:sz w:val="25"/>
                <w:szCs w:val="25"/>
              </w:rPr>
              <w:br/>
              <w:t>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26B09" w:rsidRPr="007C62EE" w:rsidRDefault="00726B09" w:rsidP="00785E6D">
            <w:pPr>
              <w:ind w:left="194"/>
              <w:jc w:val="both"/>
              <w:rPr>
                <w:rFonts w:ascii="Times" w:hAnsi="Times" w:cs="Times"/>
                <w:sz w:val="25"/>
                <w:szCs w:val="25"/>
              </w:rPr>
            </w:pP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b/>
                <w:bCs/>
                <w:sz w:val="25"/>
                <w:szCs w:val="25"/>
              </w:rPr>
            </w:pPr>
            <w:r>
              <w:rPr>
                <w:rFonts w:ascii="Times" w:hAnsi="Times" w:cs="Times"/>
                <w:b/>
                <w:bCs/>
                <w:sz w:val="25"/>
                <w:szCs w:val="25"/>
              </w:rPr>
              <w:lastRenderedPageBreak/>
              <w:t>ÚPVSR</w:t>
            </w: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Default="00726B09" w:rsidP="00726B09">
            <w:pPr>
              <w:spacing w:after="0"/>
              <w:ind w:left="83"/>
              <w:rPr>
                <w:rFonts w:ascii="Times" w:hAnsi="Times" w:cs="Times"/>
                <w:b/>
                <w:bCs/>
                <w:sz w:val="25"/>
                <w:szCs w:val="25"/>
              </w:rPr>
            </w:pPr>
            <w:r>
              <w:rPr>
                <w:rFonts w:ascii="Times" w:hAnsi="Times" w:cs="Times"/>
                <w:b/>
                <w:bCs/>
                <w:sz w:val="25"/>
                <w:szCs w:val="25"/>
              </w:rPr>
              <w:t>celému materiálu</w:t>
            </w:r>
            <w:r>
              <w:rPr>
                <w:rFonts w:ascii="Times" w:hAnsi="Times" w:cs="Times"/>
                <w:sz w:val="25"/>
                <w:szCs w:val="25"/>
              </w:rPr>
              <w:br/>
              <w:t>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26B09" w:rsidRPr="007C62EE" w:rsidRDefault="00726B09" w:rsidP="00785E6D">
            <w:pPr>
              <w:ind w:left="194"/>
              <w:jc w:val="both"/>
              <w:rPr>
                <w:rFonts w:ascii="Times" w:hAnsi="Times" w:cs="Times"/>
                <w:sz w:val="25"/>
                <w:szCs w:val="25"/>
              </w:rPr>
            </w:pP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b/>
                <w:bCs/>
                <w:sz w:val="25"/>
                <w:szCs w:val="25"/>
              </w:rPr>
            </w:pPr>
            <w:r>
              <w:rPr>
                <w:rFonts w:ascii="Times" w:hAnsi="Times" w:cs="Times"/>
                <w:b/>
                <w:bCs/>
                <w:sz w:val="25"/>
                <w:szCs w:val="25"/>
              </w:rPr>
              <w:t>ÚVO</w:t>
            </w: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Default="00726B09" w:rsidP="00726B09">
            <w:pPr>
              <w:spacing w:after="0"/>
              <w:ind w:left="83"/>
              <w:rPr>
                <w:rFonts w:ascii="Times" w:hAnsi="Times" w:cs="Times"/>
                <w:b/>
                <w:bCs/>
                <w:sz w:val="25"/>
                <w:szCs w:val="25"/>
              </w:rPr>
            </w:pPr>
            <w:r>
              <w:rPr>
                <w:rFonts w:ascii="Times" w:hAnsi="Times" w:cs="Times"/>
                <w:sz w:val="25"/>
                <w:szCs w:val="25"/>
              </w:rPr>
              <w:t>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26B09" w:rsidRPr="007C62EE" w:rsidRDefault="00726B09" w:rsidP="00785E6D">
            <w:pPr>
              <w:ind w:left="194"/>
              <w:jc w:val="both"/>
              <w:rPr>
                <w:rFonts w:ascii="Times" w:hAnsi="Times" w:cs="Times"/>
                <w:sz w:val="25"/>
                <w:szCs w:val="25"/>
              </w:rPr>
            </w:pP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b/>
                <w:bCs/>
                <w:sz w:val="25"/>
                <w:szCs w:val="25"/>
              </w:rPr>
            </w:pPr>
            <w:r>
              <w:rPr>
                <w:rFonts w:ascii="Times" w:hAnsi="Times" w:cs="Times"/>
                <w:b/>
                <w:bCs/>
                <w:sz w:val="25"/>
                <w:szCs w:val="25"/>
              </w:rPr>
              <w:t>ŠÚSR</w:t>
            </w: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Default="00726B09" w:rsidP="00726B09">
            <w:pPr>
              <w:spacing w:after="0"/>
              <w:ind w:left="83"/>
              <w:rPr>
                <w:rFonts w:ascii="Times" w:hAnsi="Times" w:cs="Times"/>
                <w:b/>
                <w:bCs/>
                <w:sz w:val="25"/>
                <w:szCs w:val="25"/>
              </w:rPr>
            </w:pPr>
            <w:r>
              <w:rPr>
                <w:rFonts w:ascii="Times" w:hAnsi="Times" w:cs="Times"/>
                <w:sz w:val="25"/>
                <w:szCs w:val="25"/>
              </w:rPr>
              <w:t>Odoslané 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26B09" w:rsidRPr="007C62EE" w:rsidRDefault="00726B09" w:rsidP="00785E6D">
            <w:pPr>
              <w:ind w:left="194"/>
              <w:jc w:val="both"/>
              <w:rPr>
                <w:rFonts w:ascii="Times" w:hAnsi="Times" w:cs="Times"/>
                <w:sz w:val="25"/>
                <w:szCs w:val="25"/>
              </w:rPr>
            </w:pP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b/>
                <w:bCs/>
                <w:sz w:val="25"/>
                <w:szCs w:val="25"/>
              </w:rPr>
            </w:pPr>
            <w:r>
              <w:rPr>
                <w:rFonts w:ascii="Times" w:hAnsi="Times" w:cs="Times"/>
                <w:b/>
                <w:bCs/>
                <w:sz w:val="25"/>
                <w:szCs w:val="25"/>
              </w:rPr>
              <w:t>ÚGKKSR</w:t>
            </w: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Default="00726B09" w:rsidP="00726B09">
            <w:pPr>
              <w:spacing w:after="0"/>
              <w:ind w:left="83"/>
              <w:rPr>
                <w:rFonts w:ascii="Times" w:hAnsi="Times" w:cs="Times"/>
                <w:b/>
                <w:bCs/>
                <w:sz w:val="25"/>
                <w:szCs w:val="25"/>
              </w:rPr>
            </w:pPr>
            <w:r>
              <w:rPr>
                <w:rFonts w:ascii="Times" w:hAnsi="Times" w:cs="Times"/>
                <w:sz w:val="25"/>
                <w:szCs w:val="25"/>
              </w:rPr>
              <w:t>Odoslané 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26B09" w:rsidRPr="007C62EE" w:rsidRDefault="00726B09" w:rsidP="00785E6D">
            <w:pPr>
              <w:ind w:left="194"/>
              <w:jc w:val="both"/>
              <w:rPr>
                <w:rFonts w:ascii="Times" w:hAnsi="Times" w:cs="Times"/>
                <w:sz w:val="25"/>
                <w:szCs w:val="25"/>
              </w:rPr>
            </w:pP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b/>
                <w:bCs/>
                <w:sz w:val="25"/>
                <w:szCs w:val="25"/>
              </w:rPr>
            </w:pPr>
            <w:r>
              <w:rPr>
                <w:rFonts w:ascii="Times" w:hAnsi="Times" w:cs="Times"/>
                <w:b/>
                <w:bCs/>
                <w:sz w:val="25"/>
                <w:szCs w:val="25"/>
              </w:rPr>
              <w:t>NBÚSR</w:t>
            </w: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Default="00726B09" w:rsidP="00726B09">
            <w:pPr>
              <w:spacing w:after="0"/>
              <w:ind w:left="83"/>
              <w:rPr>
                <w:rFonts w:ascii="Times" w:hAnsi="Times" w:cs="Times"/>
                <w:b/>
                <w:bCs/>
                <w:sz w:val="25"/>
                <w:szCs w:val="25"/>
              </w:rPr>
            </w:pPr>
            <w:r>
              <w:rPr>
                <w:rFonts w:ascii="Times" w:hAnsi="Times" w:cs="Times"/>
                <w:sz w:val="25"/>
                <w:szCs w:val="25"/>
              </w:rPr>
              <w:t>Odoslané 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26B09" w:rsidRPr="007C62EE" w:rsidRDefault="00726B09" w:rsidP="00785E6D">
            <w:pPr>
              <w:ind w:left="194"/>
              <w:jc w:val="both"/>
              <w:rPr>
                <w:rFonts w:ascii="Times" w:hAnsi="Times" w:cs="Times"/>
                <w:sz w:val="25"/>
                <w:szCs w:val="25"/>
              </w:rPr>
            </w:pP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b/>
                <w:bCs/>
                <w:sz w:val="25"/>
                <w:szCs w:val="25"/>
              </w:rPr>
            </w:pPr>
            <w:r>
              <w:rPr>
                <w:rFonts w:ascii="Times" w:hAnsi="Times" w:cs="Times"/>
                <w:b/>
                <w:bCs/>
                <w:sz w:val="25"/>
                <w:szCs w:val="25"/>
              </w:rPr>
              <w:t>MPSVRSR</w:t>
            </w: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Default="00726B09" w:rsidP="00726B09">
            <w:pPr>
              <w:spacing w:after="0"/>
              <w:ind w:left="83"/>
              <w:rPr>
                <w:rFonts w:ascii="Times" w:hAnsi="Times" w:cs="Times"/>
                <w:b/>
                <w:bCs/>
                <w:sz w:val="25"/>
                <w:szCs w:val="25"/>
              </w:rPr>
            </w:pPr>
            <w:r>
              <w:rPr>
                <w:rFonts w:ascii="Times" w:hAnsi="Times" w:cs="Times"/>
                <w:sz w:val="25"/>
                <w:szCs w:val="25"/>
              </w:rPr>
              <w:t>Odoslané 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26B09" w:rsidRPr="007C62EE" w:rsidRDefault="00726B09" w:rsidP="00785E6D">
            <w:pPr>
              <w:ind w:left="194"/>
              <w:jc w:val="both"/>
              <w:rPr>
                <w:rFonts w:ascii="Times" w:hAnsi="Times" w:cs="Times"/>
                <w:sz w:val="25"/>
                <w:szCs w:val="25"/>
              </w:rPr>
            </w:pP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b/>
                <w:bCs/>
                <w:sz w:val="25"/>
                <w:szCs w:val="25"/>
              </w:rPr>
            </w:pPr>
            <w:r>
              <w:rPr>
                <w:rFonts w:ascii="Times" w:hAnsi="Times" w:cs="Times"/>
                <w:b/>
                <w:bCs/>
                <w:sz w:val="25"/>
                <w:szCs w:val="25"/>
              </w:rPr>
              <w:t>MHSR</w:t>
            </w: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Default="00726B09" w:rsidP="00726B09">
            <w:pPr>
              <w:spacing w:after="0"/>
              <w:ind w:left="83"/>
              <w:rPr>
                <w:rFonts w:ascii="Times" w:hAnsi="Times" w:cs="Times"/>
                <w:b/>
                <w:bCs/>
                <w:sz w:val="25"/>
                <w:szCs w:val="25"/>
              </w:rPr>
            </w:pPr>
            <w:r>
              <w:rPr>
                <w:rFonts w:ascii="Times" w:hAnsi="Times" w:cs="Times"/>
                <w:sz w:val="25"/>
                <w:szCs w:val="25"/>
              </w:rPr>
              <w:t>Odoslané 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26B09" w:rsidRPr="007C62EE" w:rsidRDefault="00726B09" w:rsidP="00785E6D">
            <w:pPr>
              <w:ind w:left="194"/>
              <w:jc w:val="both"/>
              <w:rPr>
                <w:rFonts w:ascii="Times" w:hAnsi="Times" w:cs="Times"/>
                <w:sz w:val="25"/>
                <w:szCs w:val="25"/>
              </w:rPr>
            </w:pP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Default="00726B09" w:rsidP="00A026B5">
            <w:pPr>
              <w:jc w:val="center"/>
              <w:rPr>
                <w:rFonts w:ascii="Times" w:hAnsi="Times" w:cs="Times"/>
                <w:b/>
                <w:bCs/>
                <w:sz w:val="25"/>
                <w:szCs w:val="25"/>
              </w:rPr>
            </w:pPr>
            <w:r>
              <w:rPr>
                <w:rFonts w:ascii="Times" w:hAnsi="Times" w:cs="Times"/>
                <w:b/>
                <w:bCs/>
                <w:sz w:val="25"/>
                <w:szCs w:val="25"/>
              </w:rPr>
              <w:lastRenderedPageBreak/>
              <w:t>MPRVSR</w:t>
            </w: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Default="00726B09" w:rsidP="00726B09">
            <w:pPr>
              <w:spacing w:after="0"/>
              <w:ind w:left="83"/>
              <w:rPr>
                <w:rFonts w:ascii="Times" w:hAnsi="Times" w:cs="Times"/>
                <w:b/>
                <w:bCs/>
                <w:sz w:val="25"/>
                <w:szCs w:val="25"/>
              </w:rPr>
            </w:pPr>
            <w:r>
              <w:rPr>
                <w:rFonts w:ascii="Times" w:hAnsi="Times" w:cs="Times"/>
                <w:sz w:val="25"/>
                <w:szCs w:val="25"/>
              </w:rPr>
              <w:t>Odoslané bez p</w:t>
            </w:r>
            <w:bookmarkStart w:id="0" w:name="_GoBack"/>
            <w:bookmarkEnd w:id="0"/>
            <w:r>
              <w:rPr>
                <w:rFonts w:ascii="Times" w:hAnsi="Times" w:cs="Times"/>
                <w:sz w:val="25"/>
                <w:szCs w:val="25"/>
              </w:rPr>
              <w:t>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Default="005C6D36" w:rsidP="00A026B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26B09" w:rsidRPr="007C62EE" w:rsidRDefault="00726B09" w:rsidP="00785E6D">
            <w:pPr>
              <w:ind w:left="194"/>
              <w:jc w:val="both"/>
              <w:rPr>
                <w:rFonts w:ascii="Times" w:hAnsi="Times" w:cs="Times"/>
                <w:sz w:val="25"/>
                <w:szCs w:val="25"/>
              </w:rPr>
            </w:pPr>
          </w:p>
        </w:tc>
      </w:tr>
      <w:tr w:rsidR="00726B09" w:rsidTr="00726B09">
        <w:trPr>
          <w:divId w:val="645163928"/>
          <w:trHeight w:val="1293"/>
          <w:jc w:val="center"/>
        </w:trPr>
        <w:tc>
          <w:tcPr>
            <w:tcW w:w="500" w:type="pct"/>
            <w:tcBorders>
              <w:top w:val="outset" w:sz="6" w:space="0" w:color="000000"/>
              <w:left w:val="outset" w:sz="6" w:space="0" w:color="000000"/>
              <w:bottom w:val="outset" w:sz="6" w:space="0" w:color="000000"/>
              <w:right w:val="outset" w:sz="6" w:space="0" w:color="000000"/>
            </w:tcBorders>
            <w:vAlign w:val="center"/>
          </w:tcPr>
          <w:p w:rsidR="00726B09" w:rsidRPr="004F1964" w:rsidRDefault="00726B09" w:rsidP="00A026B5">
            <w:pPr>
              <w:jc w:val="center"/>
              <w:rPr>
                <w:rFonts w:ascii="Times" w:hAnsi="Times" w:cs="Times"/>
                <w:b/>
                <w:bCs/>
                <w:sz w:val="25"/>
                <w:szCs w:val="25"/>
              </w:rPr>
            </w:pPr>
            <w:r w:rsidRPr="004F1964">
              <w:rPr>
                <w:rFonts w:ascii="Times" w:hAnsi="Times" w:cs="Times"/>
                <w:b/>
                <w:bCs/>
                <w:sz w:val="25"/>
                <w:szCs w:val="25"/>
              </w:rPr>
              <w:t>MVSR</w:t>
            </w:r>
          </w:p>
        </w:tc>
        <w:tc>
          <w:tcPr>
            <w:tcW w:w="2594" w:type="pct"/>
            <w:tcBorders>
              <w:top w:val="outset" w:sz="6" w:space="0" w:color="000000"/>
              <w:left w:val="outset" w:sz="6" w:space="0" w:color="000000"/>
              <w:bottom w:val="outset" w:sz="6" w:space="0" w:color="000000"/>
              <w:right w:val="outset" w:sz="6" w:space="0" w:color="000000"/>
            </w:tcBorders>
            <w:vAlign w:val="center"/>
          </w:tcPr>
          <w:p w:rsidR="00726B09" w:rsidRPr="004F1964" w:rsidRDefault="00726B09" w:rsidP="00726B09">
            <w:pPr>
              <w:spacing w:after="0"/>
              <w:ind w:left="83"/>
              <w:rPr>
                <w:rFonts w:ascii="Times" w:hAnsi="Times" w:cs="Times"/>
                <w:sz w:val="25"/>
                <w:szCs w:val="25"/>
              </w:rPr>
            </w:pPr>
            <w:r w:rsidRPr="004F1964">
              <w:rPr>
                <w:rFonts w:ascii="Times" w:hAnsi="Times" w:cs="Times"/>
                <w:sz w:val="25"/>
                <w:szCs w:val="25"/>
              </w:rPr>
              <w:t>Odoslané bez pripomienok</w:t>
            </w:r>
          </w:p>
        </w:tc>
        <w:tc>
          <w:tcPr>
            <w:tcW w:w="209" w:type="pct"/>
            <w:tcBorders>
              <w:top w:val="outset" w:sz="6" w:space="0" w:color="000000"/>
              <w:left w:val="outset" w:sz="6" w:space="0" w:color="000000"/>
              <w:bottom w:val="outset" w:sz="6" w:space="0" w:color="000000"/>
              <w:right w:val="outset" w:sz="6" w:space="0" w:color="000000"/>
            </w:tcBorders>
            <w:vAlign w:val="center"/>
          </w:tcPr>
          <w:p w:rsidR="00726B09" w:rsidRPr="004F1964" w:rsidRDefault="005C6D36" w:rsidP="00A026B5">
            <w:pPr>
              <w:jc w:val="center"/>
              <w:rPr>
                <w:rFonts w:ascii="Times" w:hAnsi="Times" w:cs="Times"/>
                <w:sz w:val="25"/>
                <w:szCs w:val="25"/>
              </w:rPr>
            </w:pPr>
            <w:r w:rsidRPr="004F1964">
              <w:rPr>
                <w:rFonts w:ascii="Times" w:hAnsi="Times" w:cs="Times"/>
                <w:sz w:val="25"/>
                <w:szCs w:val="25"/>
              </w:rPr>
              <w:t>O</w:t>
            </w:r>
          </w:p>
        </w:tc>
        <w:tc>
          <w:tcPr>
            <w:tcW w:w="197" w:type="pct"/>
            <w:tcBorders>
              <w:top w:val="outset" w:sz="6" w:space="0" w:color="000000"/>
              <w:left w:val="outset" w:sz="6" w:space="0" w:color="000000"/>
              <w:bottom w:val="outset" w:sz="6" w:space="0" w:color="000000"/>
              <w:right w:val="outset" w:sz="6" w:space="0" w:color="000000"/>
            </w:tcBorders>
            <w:vAlign w:val="center"/>
          </w:tcPr>
          <w:p w:rsidR="00726B09" w:rsidRPr="004F1964" w:rsidRDefault="005C6D36" w:rsidP="00A026B5">
            <w:pPr>
              <w:jc w:val="center"/>
              <w:rPr>
                <w:rFonts w:ascii="Times" w:hAnsi="Times" w:cs="Times"/>
                <w:sz w:val="25"/>
                <w:szCs w:val="25"/>
              </w:rPr>
            </w:pPr>
            <w:r w:rsidRPr="004F1964">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tcPr>
          <w:p w:rsidR="00726B09" w:rsidRPr="004F1964" w:rsidRDefault="00726B09" w:rsidP="00785E6D">
            <w:pPr>
              <w:ind w:left="194"/>
              <w:jc w:val="both"/>
              <w:rPr>
                <w:rFonts w:ascii="Times" w:hAnsi="Times" w:cs="Times"/>
                <w:sz w:val="25"/>
                <w:szCs w:val="25"/>
              </w:rPr>
            </w:pPr>
          </w:p>
        </w:tc>
      </w:tr>
    </w:tbl>
    <w:p w:rsidR="00D2179B" w:rsidRDefault="00D2179B">
      <w:pPr>
        <w:jc w:val="center"/>
        <w:divId w:val="645163928"/>
        <w:rPr>
          <w:rFonts w:ascii="Times" w:hAnsi="Times" w:cs="Times"/>
          <w:sz w:val="25"/>
          <w:szCs w:val="25"/>
        </w:rPr>
      </w:pPr>
    </w:p>
    <w:sectPr w:rsidR="00D2179B"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F49" w:rsidRDefault="00934F49" w:rsidP="000A67D5">
      <w:pPr>
        <w:spacing w:after="0" w:line="240" w:lineRule="auto"/>
      </w:pPr>
      <w:r>
        <w:separator/>
      </w:r>
    </w:p>
  </w:endnote>
  <w:endnote w:type="continuationSeparator" w:id="0">
    <w:p w:rsidR="00934F49" w:rsidRDefault="00934F4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F49" w:rsidRDefault="00934F49" w:rsidP="000A67D5">
      <w:pPr>
        <w:spacing w:after="0" w:line="240" w:lineRule="auto"/>
      </w:pPr>
      <w:r>
        <w:separator/>
      </w:r>
    </w:p>
  </w:footnote>
  <w:footnote w:type="continuationSeparator" w:id="0">
    <w:p w:rsidR="00934F49" w:rsidRDefault="00934F4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06B3"/>
    <w:rsid w:val="000324A3"/>
    <w:rsid w:val="0006543E"/>
    <w:rsid w:val="00081F33"/>
    <w:rsid w:val="000A67D5"/>
    <w:rsid w:val="000E25CA"/>
    <w:rsid w:val="000F7A42"/>
    <w:rsid w:val="00146547"/>
    <w:rsid w:val="00146B48"/>
    <w:rsid w:val="00150388"/>
    <w:rsid w:val="00154A91"/>
    <w:rsid w:val="001A6F7B"/>
    <w:rsid w:val="001D4C42"/>
    <w:rsid w:val="002109B0"/>
    <w:rsid w:val="0021228E"/>
    <w:rsid w:val="00230F3C"/>
    <w:rsid w:val="0025471B"/>
    <w:rsid w:val="002654AA"/>
    <w:rsid w:val="002827B4"/>
    <w:rsid w:val="00284D73"/>
    <w:rsid w:val="002A5577"/>
    <w:rsid w:val="002D7471"/>
    <w:rsid w:val="002E3E4A"/>
    <w:rsid w:val="00310A55"/>
    <w:rsid w:val="00322014"/>
    <w:rsid w:val="0039526D"/>
    <w:rsid w:val="003B435B"/>
    <w:rsid w:val="003D101C"/>
    <w:rsid w:val="003D5E45"/>
    <w:rsid w:val="003E22A7"/>
    <w:rsid w:val="003E4226"/>
    <w:rsid w:val="004075B2"/>
    <w:rsid w:val="00436C44"/>
    <w:rsid w:val="00474A9D"/>
    <w:rsid w:val="004F1964"/>
    <w:rsid w:val="00506482"/>
    <w:rsid w:val="00532574"/>
    <w:rsid w:val="00534F8B"/>
    <w:rsid w:val="0059081C"/>
    <w:rsid w:val="005C6D36"/>
    <w:rsid w:val="005E7C53"/>
    <w:rsid w:val="00642FB8"/>
    <w:rsid w:val="006A3681"/>
    <w:rsid w:val="007156F5"/>
    <w:rsid w:val="00726B09"/>
    <w:rsid w:val="00785E6D"/>
    <w:rsid w:val="007A1010"/>
    <w:rsid w:val="007B7F1A"/>
    <w:rsid w:val="007C62EE"/>
    <w:rsid w:val="007C6E51"/>
    <w:rsid w:val="007D7AE6"/>
    <w:rsid w:val="007E4294"/>
    <w:rsid w:val="00841FA6"/>
    <w:rsid w:val="00863994"/>
    <w:rsid w:val="00872226"/>
    <w:rsid w:val="008825A8"/>
    <w:rsid w:val="008A1964"/>
    <w:rsid w:val="008D29F4"/>
    <w:rsid w:val="008E2844"/>
    <w:rsid w:val="008F62AD"/>
    <w:rsid w:val="0090100E"/>
    <w:rsid w:val="009239D9"/>
    <w:rsid w:val="00927118"/>
    <w:rsid w:val="00934F49"/>
    <w:rsid w:val="00943EB2"/>
    <w:rsid w:val="009560EC"/>
    <w:rsid w:val="0099665B"/>
    <w:rsid w:val="009C6C5C"/>
    <w:rsid w:val="009F7218"/>
    <w:rsid w:val="00A251BF"/>
    <w:rsid w:val="00A54A16"/>
    <w:rsid w:val="00AE3820"/>
    <w:rsid w:val="00B721A5"/>
    <w:rsid w:val="00B76589"/>
    <w:rsid w:val="00B8767E"/>
    <w:rsid w:val="00BB6111"/>
    <w:rsid w:val="00BD1FAB"/>
    <w:rsid w:val="00BE7302"/>
    <w:rsid w:val="00BF7CE0"/>
    <w:rsid w:val="00C07328"/>
    <w:rsid w:val="00C20631"/>
    <w:rsid w:val="00CA44D2"/>
    <w:rsid w:val="00CE47A6"/>
    <w:rsid w:val="00CF3D59"/>
    <w:rsid w:val="00D2179B"/>
    <w:rsid w:val="00D261C9"/>
    <w:rsid w:val="00D85172"/>
    <w:rsid w:val="00D969AC"/>
    <w:rsid w:val="00DF7085"/>
    <w:rsid w:val="00DF77AB"/>
    <w:rsid w:val="00E85710"/>
    <w:rsid w:val="00EB772A"/>
    <w:rsid w:val="00EE5CAC"/>
    <w:rsid w:val="00EF1425"/>
    <w:rsid w:val="00F26A4A"/>
    <w:rsid w:val="00F727F0"/>
    <w:rsid w:val="00F8562E"/>
    <w:rsid w:val="00FA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D217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3">
    <w:name w:val="heading 3"/>
    <w:basedOn w:val="Normlny"/>
    <w:link w:val="Nadpis3Char"/>
    <w:uiPriority w:val="9"/>
    <w:qFormat/>
    <w:rsid w:val="00D217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character" w:customStyle="1" w:styleId="Nadpis1Char">
    <w:name w:val="Nadpis 1 Char"/>
    <w:basedOn w:val="Predvolenpsmoodseku"/>
    <w:link w:val="Nadpis1"/>
    <w:uiPriority w:val="9"/>
    <w:rsid w:val="00D2179B"/>
    <w:rPr>
      <w:rFonts w:ascii="Times New Roman" w:eastAsia="Times New Roman" w:hAnsi="Times New Roman" w:cs="Times New Roman"/>
      <w:b/>
      <w:bCs/>
      <w:kern w:val="36"/>
      <w:sz w:val="48"/>
      <w:szCs w:val="48"/>
    </w:rPr>
  </w:style>
  <w:style w:type="character" w:customStyle="1" w:styleId="Nadpis3Char">
    <w:name w:val="Nadpis 3 Char"/>
    <w:basedOn w:val="Predvolenpsmoodseku"/>
    <w:link w:val="Nadpis3"/>
    <w:uiPriority w:val="9"/>
    <w:rsid w:val="00D2179B"/>
    <w:rPr>
      <w:rFonts w:ascii="Times New Roman" w:eastAsia="Times New Roman" w:hAnsi="Times New Roman" w:cs="Times New Roman"/>
      <w:b/>
      <w:bCs/>
      <w:sz w:val="27"/>
      <w:szCs w:val="27"/>
    </w:rPr>
  </w:style>
  <w:style w:type="character" w:styleId="Hypertextovprepojenie">
    <w:name w:val="Hyperlink"/>
    <w:basedOn w:val="Predvolenpsmoodseku"/>
    <w:uiPriority w:val="99"/>
    <w:semiHidden/>
    <w:unhideWhenUsed/>
    <w:rsid w:val="00D2179B"/>
    <w:rPr>
      <w:color w:val="0000FF"/>
      <w:u w:val="single"/>
    </w:rPr>
  </w:style>
  <w:style w:type="paragraph" w:styleId="Odsekzoznamu">
    <w:name w:val="List Paragraph"/>
    <w:basedOn w:val="Normlny"/>
    <w:uiPriority w:val="34"/>
    <w:qFormat/>
    <w:rsid w:val="00030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63928">
      <w:bodyDiv w:val="1"/>
      <w:marLeft w:val="0"/>
      <w:marRight w:val="0"/>
      <w:marTop w:val="0"/>
      <w:marBottom w:val="0"/>
      <w:divBdr>
        <w:top w:val="none" w:sz="0" w:space="0" w:color="auto"/>
        <w:left w:val="none" w:sz="0" w:space="0" w:color="auto"/>
        <w:bottom w:val="none" w:sz="0" w:space="0" w:color="auto"/>
        <w:right w:val="none" w:sz="0" w:space="0" w:color="auto"/>
      </w:divBdr>
    </w:div>
    <w:div w:id="665206286">
      <w:bodyDiv w:val="1"/>
      <w:marLeft w:val="0"/>
      <w:marRight w:val="0"/>
      <w:marTop w:val="0"/>
      <w:marBottom w:val="0"/>
      <w:divBdr>
        <w:top w:val="none" w:sz="0" w:space="0" w:color="auto"/>
        <w:left w:val="none" w:sz="0" w:space="0" w:color="auto"/>
        <w:bottom w:val="none" w:sz="0" w:space="0" w:color="auto"/>
        <w:right w:val="none" w:sz="0" w:space="0" w:color="auto"/>
      </w:divBdr>
    </w:div>
    <w:div w:id="768082717">
      <w:bodyDiv w:val="1"/>
      <w:marLeft w:val="0"/>
      <w:marRight w:val="0"/>
      <w:marTop w:val="0"/>
      <w:marBottom w:val="0"/>
      <w:divBdr>
        <w:top w:val="none" w:sz="0" w:space="0" w:color="auto"/>
        <w:left w:val="none" w:sz="0" w:space="0" w:color="auto"/>
        <w:bottom w:val="none" w:sz="0" w:space="0" w:color="auto"/>
        <w:right w:val="none" w:sz="0" w:space="0" w:color="auto"/>
      </w:divBdr>
    </w:div>
    <w:div w:id="786509387">
      <w:bodyDiv w:val="1"/>
      <w:marLeft w:val="0"/>
      <w:marRight w:val="0"/>
      <w:marTop w:val="0"/>
      <w:marBottom w:val="0"/>
      <w:divBdr>
        <w:top w:val="none" w:sz="0" w:space="0" w:color="auto"/>
        <w:left w:val="none" w:sz="0" w:space="0" w:color="auto"/>
        <w:bottom w:val="none" w:sz="0" w:space="0" w:color="auto"/>
        <w:right w:val="none" w:sz="0" w:space="0" w:color="auto"/>
      </w:divBdr>
    </w:div>
    <w:div w:id="821235270">
      <w:bodyDiv w:val="1"/>
      <w:marLeft w:val="0"/>
      <w:marRight w:val="0"/>
      <w:marTop w:val="0"/>
      <w:marBottom w:val="0"/>
      <w:divBdr>
        <w:top w:val="none" w:sz="0" w:space="0" w:color="auto"/>
        <w:left w:val="none" w:sz="0" w:space="0" w:color="auto"/>
        <w:bottom w:val="none" w:sz="0" w:space="0" w:color="auto"/>
        <w:right w:val="none" w:sz="0" w:space="0" w:color="auto"/>
      </w:divBdr>
    </w:div>
    <w:div w:id="1454325402">
      <w:bodyDiv w:val="1"/>
      <w:marLeft w:val="0"/>
      <w:marRight w:val="0"/>
      <w:marTop w:val="0"/>
      <w:marBottom w:val="0"/>
      <w:divBdr>
        <w:top w:val="none" w:sz="0" w:space="0" w:color="auto"/>
        <w:left w:val="none" w:sz="0" w:space="0" w:color="auto"/>
        <w:bottom w:val="none" w:sz="0" w:space="0" w:color="auto"/>
        <w:right w:val="none" w:sz="0" w:space="0" w:color="auto"/>
      </w:divBdr>
    </w:div>
    <w:div w:id="1529023996">
      <w:bodyDiv w:val="1"/>
      <w:marLeft w:val="0"/>
      <w:marRight w:val="0"/>
      <w:marTop w:val="0"/>
      <w:marBottom w:val="0"/>
      <w:divBdr>
        <w:top w:val="none" w:sz="0" w:space="0" w:color="auto"/>
        <w:left w:val="none" w:sz="0" w:space="0" w:color="auto"/>
        <w:bottom w:val="none" w:sz="0" w:space="0" w:color="auto"/>
        <w:right w:val="none" w:sz="0" w:space="0" w:color="auto"/>
      </w:divBdr>
    </w:div>
    <w:div w:id="16829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11.2016 9:26:58"/>
    <f:field ref="objchangedby" par="" text="Administrator, System"/>
    <f:field ref="objmodifiedat" par="" text="28.11.2016 9:27:0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1235</Words>
  <Characters>7044</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2017-01-19T12:47:00Z</dcterms:created>
  <dcterms:modified xsi:type="dcterms:W3CDTF">2017-01-24T12:31:00Z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justify;"&gt;Predbežná informácia (PI/2016/163) týkajúca sa návrhu nariadenia vlády Slovenskej republiky, ktorým sa dopĺňa nariadenie vlády Slovenskej republiky č. 582/2006 Z. z. o bezpečnostných požiadavkách na osobné lode v znení nari</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Doprava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Alena Fedorková</vt:lpwstr>
  </property>
  <property fmtid="{D5CDD505-2E9C-101B-9397-08002B2CF9AE}" pid="11" name="FSC#SKEDITIONSLOVLEX@103.510:zodppredkladatel">
    <vt:lpwstr>Arpád Érsek</vt:lpwstr>
  </property>
  <property fmtid="{D5CDD505-2E9C-101B-9397-08002B2CF9AE}" pid="12" name="FSC#SKEDITIONSLOVLEX@103.510:dalsipredkladatel">
    <vt:lpwstr/>
  </property>
  <property fmtid="{D5CDD505-2E9C-101B-9397-08002B2CF9AE}" pid="13" name="FSC#SKEDITIONSLOVLEX@103.510:nazovpredpis">
    <vt:lpwstr> ktorým sa dopĺňa nariadenie vlády Slovenskej republiky č. 582/2006 Z. z. o bezpečnostných požiadavkách na osobné lode v znení nariadenia vlády Slovenskej republiky č. 452/2010 Z. z.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dopravy, výstavby a regionálneho rozvoja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úlohy B.15. uznesenia vlády SR č. 405 z 21. septembra 2016</vt:lpwstr>
  </property>
  <property fmtid="{D5CDD505-2E9C-101B-9397-08002B2CF9AE}" pid="22" name="FSC#SKEDITIONSLOVLEX@103.510:plnynazovpredpis">
    <vt:lpwstr> Nariadenie vlády  Slovenskej republiky ktorým sa dopĺňa nariadenie vlády Slovenskej republiky č. 582/2006 Z. z. o bezpečnostných požiadavkách na osobné lode v znení nariadenia vlády Slovenskej republiky č. 452/2010 Z. z.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07059/2016/B920-SVD/67717-M</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LP/2016/965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v Hlave VI Doprava čl. 90 až 100 Zmluvy o fungovaní Európskej únie</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smernica Komisie (EÚ) 2016/844 z 27. mája 2016, ktorou sa mení smernica Európskeho parlamentu a Rady 2009/45/ES o bezpečnostných pravidlách a normách pre osobné lode (Ú. v. EÚ L 141, 28.5.2016)</vt:lpwstr>
  </property>
  <property fmtid="{D5CDD505-2E9C-101B-9397-08002B2CF9AE}" pid="48" name="FSC#SKEDITIONSLOVLEX@103.510:AttrStrListDocPropSekundarneLegPravoDO">
    <vt:lpwstr>smernica Európskeho parlamentu a Rady 2009/45/ES zo 6. mája 2009 o bezpečnostných pravidlách a normách pre osobné lode (prepracované znenie) (Ú. v. EÚ L 163, 25.6.2009) v platnom znení</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najneskôr do 1. júla 2017</vt:lpwstr>
  </property>
  <property fmtid="{D5CDD505-2E9C-101B-9397-08002B2CF9AE}" pid="52" name="FSC#SKEDITIONSLOVLEX@103.510:AttrStrListDocPropLehotaNaPredlozenie">
    <vt:lpwstr>do 15. januára 2017</vt:lpwstr>
  </property>
  <property fmtid="{D5CDD505-2E9C-101B-9397-08002B2CF9AE}" pid="53" name="FSC#SKEDITIONSLOVLEX@103.510:AttrStrListDocPropInfoZaciatokKonania">
    <vt:lpwstr>konanie nebolo začaté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dopravy, výstavby a regionálneho rozvoja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Nepredkladajú sa</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nariadenia vlády Slovenskej republiky ktorým sa dopĺňa nariadenie vlády Slovenskej republiky č. 582/2006 Z. z. o bezpečnostných požiadavkách na osobné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dopravy, výstavby a regionálneho rozvoja Slovenskej republiky</vt:lpwstr>
  </property>
  <property fmtid="{D5CDD505-2E9C-101B-9397-08002B2CF9AE}" pid="141" name="FSC#SKEDITIONSLOVLEX@103.510:funkciaZodpPredAkuzativ">
    <vt:lpwstr>ministra dopravy, výstavby a regionálneho rozvoja Slovenskej republiky</vt:lpwstr>
  </property>
  <property fmtid="{D5CDD505-2E9C-101B-9397-08002B2CF9AE}" pid="142" name="FSC#SKEDITIONSLOVLEX@103.510:funkciaZodpPredDativ">
    <vt:lpwstr>ministrovi dopravy, výst6avby a regionálneho rozvoja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Arpád Érsek_x000d_
minister dopravy, výstavby a regionálneho rozvoja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 0cm 0cm 0pt; text-align: justify; text-indent: 35.4pt;"&gt;Návrh nariadenia vlády Slovenskej republiky, ktorým sa dopĺňa nariadenie vlády Slovenskej republiky č. 582/2006 Z. z. o bezpečnostných požiadavkách na osobné lode v znení nariadenia</vt:lpwstr>
  </property>
  <property fmtid="{D5CDD505-2E9C-101B-9397-08002B2CF9AE}" pid="149" name="FSC#COOSYSTEM@1.1:Container">
    <vt:lpwstr>COO.2145.1000.3.1709057</vt:lpwstr>
  </property>
  <property fmtid="{D5CDD505-2E9C-101B-9397-08002B2CF9AE}" pid="150" name="FSC#FSCFOLIO@1.1001:docpropproject">
    <vt:lpwstr/>
  </property>
  <property fmtid="{D5CDD505-2E9C-101B-9397-08002B2CF9AE}" pid="151" name="FSC#SKEDITIONSLOVLEX@103.510:aktualnyrok">
    <vt:lpwstr>2016</vt:lpwstr>
  </property>
</Properties>
</file>