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F62AD" w:rsidRDefault="008F62AD">
      <w:pPr>
        <w:jc w:val="center"/>
        <w:divId w:val="64516392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ktorým sa dopĺňa nariadenie vlády Slovenskej republiky č. 582/2006 Z. z. o bezpečnostných požiadavkách na osobné lode v znení nariadenia vlády Slovenskej republiky č. 452/2010 Z. z.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F62AD" w:rsidP="008F62A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84D73" w:rsidP="008F62A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84D73" w:rsidP="008F62A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  <w:r w:rsidR="008F62AD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62AD" w:rsidP="008F62A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62AD" w:rsidP="008F62A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8F62AD" w:rsidRDefault="008F62A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8F62AD">
        <w:trPr>
          <w:divId w:val="76808271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62AD">
        <w:trPr>
          <w:divId w:val="76808271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F62AD" w:rsidRDefault="008F62AD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 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prílohou č. 3 k Legislatívnym pravidlám vlády Slovenskej republiky sa v stĺpci 6 tabuľky zhody uvádza doslovné znenie ustanovenia, ktoré preberá príslušné ustanovenie smernice. Tabuľka zhody sa vypracúva ku všetkým článkom normatívneho textu smernice, vrátane prílohy, a to aj ak predkladateľ transponuje len niektoré jej články. Ak sa v elektronickej databáze už tabuľka zhody k príslušnej smernici nachádza, predkladateľ vypracúva tabuľku zhody v písomnej forme len k článkom smernice, ktoré sa v návrhu právneho predpisu transponujú. Tabuľku zhody je predkladateľ povinný vypracovať najneskôr pri predkladaní návrhu právneho predpisu na pripomienkové konanie. Žiadame v tabuľke zhody k smernici Komisie (EÚ) 2016/844 z 27. mája 2016, ktorou sa mení smernica Európskeho parlamentu a Rady 2009/45/ES o bezpečnostných pravidlách a normách pre osobné lode presne uviesť ustanovenia právnych predpisov SR, ktoré predstavujú transpozičné opatrenia jednotlivých článkov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3E2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Pr="003E22A7" w:rsidRDefault="003E22A7" w:rsidP="008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Tabuľka zhody je doplnená.</w:t>
            </w: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  <w:tr w:rsidR="008F62AD">
        <w:trPr>
          <w:divId w:val="1529023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284D7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2AD" w:rsidRDefault="008F62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8B" w:rsidRDefault="00534F8B" w:rsidP="000A67D5">
      <w:pPr>
        <w:spacing w:after="0" w:line="240" w:lineRule="auto"/>
      </w:pPr>
      <w:r>
        <w:separator/>
      </w:r>
    </w:p>
  </w:endnote>
  <w:endnote w:type="continuationSeparator" w:id="0">
    <w:p w:rsidR="00534F8B" w:rsidRDefault="00534F8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8B" w:rsidRDefault="00534F8B" w:rsidP="000A67D5">
      <w:pPr>
        <w:spacing w:after="0" w:line="240" w:lineRule="auto"/>
      </w:pPr>
      <w:r>
        <w:separator/>
      </w:r>
    </w:p>
  </w:footnote>
  <w:footnote w:type="continuationSeparator" w:id="0">
    <w:p w:rsidR="00534F8B" w:rsidRDefault="00534F8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A6F7B"/>
    <w:rsid w:val="002109B0"/>
    <w:rsid w:val="0021228E"/>
    <w:rsid w:val="00230F3C"/>
    <w:rsid w:val="0025471B"/>
    <w:rsid w:val="002654AA"/>
    <w:rsid w:val="002827B4"/>
    <w:rsid w:val="00284D73"/>
    <w:rsid w:val="002A5577"/>
    <w:rsid w:val="002D7471"/>
    <w:rsid w:val="00310A55"/>
    <w:rsid w:val="00322014"/>
    <w:rsid w:val="0039526D"/>
    <w:rsid w:val="003B435B"/>
    <w:rsid w:val="003D101C"/>
    <w:rsid w:val="003D5E45"/>
    <w:rsid w:val="003E22A7"/>
    <w:rsid w:val="003E4226"/>
    <w:rsid w:val="004075B2"/>
    <w:rsid w:val="00436C44"/>
    <w:rsid w:val="00474A9D"/>
    <w:rsid w:val="00532574"/>
    <w:rsid w:val="00534F8B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825A8"/>
    <w:rsid w:val="008A1964"/>
    <w:rsid w:val="008E2844"/>
    <w:rsid w:val="008F62AD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B6111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11.2016 9:26:58"/>
    <f:field ref="objchangedby" par="" text="Administrator, System"/>
    <f:field ref="objmodifiedat" par="" text="28.11.2016 9:27:0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2016-11-28T08:29:00Z</dcterms:created>
  <dcterms:modified xsi:type="dcterms:W3CDTF">2016-11-28T08:41:00Z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justify;"&gt;Predbežná informácia (PI/2016/163) týkajúca sa návrhu nariadenia vlády Slovenskej republiky, ktorým sa dopĺňa nariadenie vlády Slovenskej republiky č. 582/2006 Z. z. o bezpečnostných požiadavkách na osobné lode v znení nari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Alena Fedorková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dopĺňa nariadenie vlády Slovenskej republiky č. 582/2006 Z. z. o bezpečnostných požiadavkách na osobné lode v znení nariadenia vlády Slovenskej republiky č. 452/2010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dopravy, výstavby a regionálneho rozvoja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B.15. uznesenia vlády SR č. 405 z 21. septembra 2016</vt:lpwstr>
  </property>
  <property fmtid="{D5CDD505-2E9C-101B-9397-08002B2CF9AE}" pid="22" name="FSC#SKEDITIONSLOVLEX@103.510:plnynazovpredpis">
    <vt:lpwstr> Nariadenie vlády  Slovenskej republiky ktorým sa dopĺňa nariadenie vlády Slovenskej republiky č. 582/2006 Z. z. o bezpečnostných požiadavkách na osobné lode v znení nariadenia vlády Slovenskej republiky č. 452/2010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07059/2016/B920-SVD/67717-M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LP/2016/965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v Hlave VI Doprava čl. 90 až 100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smernica Komisie (EÚ) 2016/844 z 27. mája 2016, ktorou sa mení smernica Európskeho parlamentu a Rady 2009/45/ES o bezpečnostných pravidlách a normách pre osobné lode (Ú. v. EÚ L 141, 28.5.2016)</vt:lpwstr>
  </property>
  <property fmtid="{D5CDD505-2E9C-101B-9397-08002B2CF9AE}" pid="48" name="FSC#SKEDITIONSLOVLEX@103.510:AttrStrListDocPropSekundarneLegPravoDO">
    <vt:lpwstr>smernica Európskeho parlamentu a Rady 2009/45/ES zo 6. mája 2009 o bezpečnostných pravidlách a normách pre osobné lode (prepracované znenie) (Ú. v. EÚ L 163, 25.6.2009) v platnom znení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najneskôr do 1. júla 2017</vt:lpwstr>
  </property>
  <property fmtid="{D5CDD505-2E9C-101B-9397-08002B2CF9AE}" pid="52" name="FSC#SKEDITIONSLOVLEX@103.510:AttrStrListDocPropLehotaNaPredlozenie">
    <vt:lpwstr>do 15. januára 2017</vt:lpwstr>
  </property>
  <property fmtid="{D5CDD505-2E9C-101B-9397-08002B2CF9AE}" pid="53" name="FSC#SKEDITIONSLOVLEX@103.510:AttrStrListDocPropInfoZaciatokKonania">
    <vt:lpwstr>konanie nebolo začaté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dopravy, výstavby a regionálneho rozvoja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Nepredkladajú sa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ktorým sa dopĺňa nariadenie vlády Slovenskej republiky č. 582/2006 Z. z. o bezpečnostných požiadavkách na osobné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dopravy, výstavby a regionálneho rozvoja Slovenskej republiky</vt:lpwstr>
  </property>
  <property fmtid="{D5CDD505-2E9C-101B-9397-08002B2CF9AE}" pid="141" name="FSC#SKEDITIONSLOVLEX@103.510:funkciaZodpPredAkuzativ">
    <vt:lpwstr>ministra dopravy, výstavby a regionálneho rozvoja Slovenskej republiky</vt:lpwstr>
  </property>
  <property fmtid="{D5CDD505-2E9C-101B-9397-08002B2CF9AE}" pid="142" name="FSC#SKEDITIONSLOVLEX@103.510:funkciaZodpPredDativ">
    <vt:lpwstr>ministrovi dopravy, výst6avby a regionálneho rozvoja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dopravy, výstavby a regionálneho rozvoja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style="margin: 0cm 0cm 0pt; text-align: justify; text-indent: 35.4pt;"&gt;Návrh nariadenia vlády Slovenskej republiky, ktorým sa dopĺňa nariadenie vlády Slovenskej republiky č. 582/2006 Z. z. o bezpečnostných požiadavkách na osobné lode v znení nariadenia</vt:lpwstr>
  </property>
  <property fmtid="{D5CDD505-2E9C-101B-9397-08002B2CF9AE}" pid="149" name="FSC#COOSYSTEM@1.1:Container">
    <vt:lpwstr>COO.2145.1000.3.1709057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