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ED" w:rsidRDefault="00046B68">
      <w:pPr>
        <w:spacing w:after="200"/>
        <w:jc w:val="center"/>
      </w:pPr>
      <w:r>
        <w:rPr>
          <w:b/>
          <w:sz w:val="24"/>
        </w:rPr>
        <w:cr/>
      </w:r>
      <w:r>
        <w:rPr>
          <w:b/>
          <w:sz w:val="24"/>
        </w:rPr>
        <w:cr/>
      </w:r>
      <w:r>
        <w:rPr>
          <w:b/>
          <w:sz w:val="24"/>
        </w:rPr>
        <w:cr/>
      </w:r>
      <w:r>
        <w:rPr>
          <w:b/>
          <w:sz w:val="24"/>
        </w:rPr>
        <w:cr/>
      </w:r>
      <w:r>
        <w:rPr>
          <w:b/>
          <w:sz w:val="24"/>
        </w:rPr>
        <w:cr/>
        <w:t>(Návrh)</w:t>
      </w:r>
      <w:r>
        <w:rPr>
          <w:b/>
          <w:sz w:val="24"/>
        </w:rPr>
        <w:cr/>
      </w:r>
    </w:p>
    <w:p w:rsidR="00E649ED" w:rsidRDefault="00E649ED"/>
    <w:p w:rsidR="00E649ED" w:rsidRDefault="00046B68">
      <w:pPr>
        <w:spacing w:after="200"/>
        <w:jc w:val="center"/>
      </w:pPr>
      <w:r>
        <w:rPr>
          <w:b/>
          <w:sz w:val="24"/>
        </w:rPr>
        <w:t xml:space="preserve"> </w:t>
      </w:r>
    </w:p>
    <w:p w:rsidR="00E649ED" w:rsidRDefault="00046B68">
      <w:pPr>
        <w:spacing w:after="200"/>
        <w:jc w:val="center"/>
      </w:pPr>
      <w:r>
        <w:rPr>
          <w:b/>
          <w:sz w:val="24"/>
        </w:rPr>
        <w:t>ZÁKON</w:t>
      </w:r>
    </w:p>
    <w:p w:rsidR="00E649ED" w:rsidRDefault="00E649ED"/>
    <w:p w:rsidR="00E649ED" w:rsidRDefault="00F33EBE">
      <w:pPr>
        <w:spacing w:after="200"/>
        <w:jc w:val="center"/>
      </w:pPr>
      <w:r>
        <w:t>z ....2016</w:t>
      </w:r>
    </w:p>
    <w:p w:rsidR="00E649ED" w:rsidRDefault="00E649ED"/>
    <w:p w:rsidR="00E649ED" w:rsidRDefault="00E649ED">
      <w:pPr>
        <w:spacing w:after="200"/>
        <w:jc w:val="center"/>
      </w:pPr>
    </w:p>
    <w:p w:rsidR="00E649ED" w:rsidRDefault="00046B68">
      <w:pPr>
        <w:spacing w:after="200"/>
        <w:jc w:val="center"/>
      </w:pPr>
      <w:r>
        <w:rPr>
          <w:b/>
          <w:sz w:val="24"/>
        </w:rPr>
        <w:t>o európskom príkaze na zablokovanie účtov a o doplnení zákona Slovenskej národnej rady č. 71/1992 Zb. o súdnych poplatkoch a poplatku za výpis z registra trestov v znení neskorších predpisov</w:t>
      </w:r>
    </w:p>
    <w:p w:rsidR="00E649ED" w:rsidRDefault="00E649ED"/>
    <w:p w:rsidR="00E649ED" w:rsidRDefault="00E649ED"/>
    <w:p w:rsidR="00E649ED" w:rsidRDefault="00E649ED">
      <w:pPr>
        <w:jc w:val="both"/>
      </w:pPr>
    </w:p>
    <w:p w:rsidR="00E649ED" w:rsidRDefault="00046B68">
      <w:pPr>
        <w:spacing w:after="200"/>
      </w:pPr>
      <w:r>
        <w:rPr>
          <w:sz w:val="24"/>
        </w:rPr>
        <w:t xml:space="preserve">Národná rada Slovenskej republiky </w:t>
      </w:r>
      <w:r>
        <w:rPr>
          <w:sz w:val="24"/>
        </w:rPr>
        <w:t>sa uzniesla na tomto zákone:</w:t>
      </w:r>
    </w:p>
    <w:p w:rsidR="00E649ED" w:rsidRDefault="00E649ED"/>
    <w:p w:rsidR="00E649ED" w:rsidRDefault="00046B68">
      <w:pPr>
        <w:spacing w:after="200"/>
        <w:jc w:val="center"/>
      </w:pPr>
      <w:r>
        <w:rPr>
          <w:b/>
          <w:sz w:val="24"/>
        </w:rPr>
        <w:t>Čl. I</w:t>
      </w:r>
    </w:p>
    <w:p w:rsidR="00E649ED" w:rsidRDefault="00046B68">
      <w:pPr>
        <w:spacing w:after="200"/>
        <w:jc w:val="center"/>
      </w:pPr>
      <w:r>
        <w:rPr>
          <w:b/>
          <w:sz w:val="24"/>
        </w:rPr>
        <w:t>Európsky príkaz na zablokovanie účtov</w:t>
      </w:r>
    </w:p>
    <w:p w:rsidR="00E649ED" w:rsidRDefault="00046B68">
      <w:pPr>
        <w:spacing w:after="200"/>
        <w:jc w:val="center"/>
      </w:pPr>
      <w:r>
        <w:rPr>
          <w:b/>
          <w:sz w:val="24"/>
        </w:rPr>
        <w:t>§ 1</w:t>
      </w:r>
    </w:p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(1) </w:t>
      </w:r>
      <w:r>
        <w:rPr>
          <w:sz w:val="24"/>
        </w:rPr>
        <w:t>Európsky príkaz na zablokovanie účtov (ďalej len „príkaz na zablokovanie“) je neodkladné opatrenie nariadené podľa osobitného predpisu.</w:t>
      </w:r>
      <w:r>
        <w:rPr>
          <w:sz w:val="24"/>
          <w:vertAlign w:val="superscript"/>
        </w:rPr>
        <w:footnoteReference w:id="1"/>
      </w:r>
      <w:r>
        <w:rPr>
          <w:sz w:val="24"/>
        </w:rPr>
        <w:t>)</w:t>
      </w:r>
    </w:p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(2) </w:t>
      </w:r>
      <w:r>
        <w:rPr>
          <w:sz w:val="24"/>
        </w:rPr>
        <w:t>Na konanie o príkaze na zablokov</w:t>
      </w:r>
      <w:r>
        <w:rPr>
          <w:sz w:val="24"/>
        </w:rPr>
        <w:t>anie sa primerane použijú ustanovenia o neodkladných opatreniach podľa Civilného sporového poriadku, ak tento zákon alebo osobitný predpis</w:t>
      </w:r>
      <w:r>
        <w:rPr>
          <w:sz w:val="24"/>
          <w:vertAlign w:val="superscript"/>
        </w:rPr>
        <w:t>1)</w:t>
      </w:r>
      <w:r>
        <w:rPr>
          <w:sz w:val="24"/>
        </w:rPr>
        <w:t xml:space="preserve"> neustanovuje inak.</w:t>
      </w:r>
    </w:p>
    <w:p w:rsidR="00E649ED" w:rsidRDefault="00046B68">
      <w:pPr>
        <w:jc w:val="center"/>
      </w:pPr>
      <w:r>
        <w:rPr>
          <w:b/>
          <w:sz w:val="24"/>
        </w:rPr>
        <w:t>§ 2</w:t>
      </w:r>
    </w:p>
    <w:p w:rsidR="00E649ED" w:rsidRDefault="00046B68">
      <w:pPr>
        <w:spacing w:after="200"/>
        <w:jc w:val="center"/>
      </w:pPr>
      <w:r>
        <w:rPr>
          <w:b/>
          <w:sz w:val="24"/>
        </w:rPr>
        <w:t>Príslušnosť</w:t>
      </w:r>
    </w:p>
    <w:p w:rsidR="00E649ED" w:rsidRDefault="00E649ED"/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(1) </w:t>
      </w:r>
      <w:r>
        <w:rPr>
          <w:sz w:val="24"/>
        </w:rPr>
        <w:t>Na konanie o návrhu na vydanie príkazu na zablokovanie je príslušný všeobec</w:t>
      </w:r>
      <w:r>
        <w:rPr>
          <w:sz w:val="24"/>
        </w:rPr>
        <w:t>ný súd osoby, proti ktorej návrh na vydanie príkazu na zablokovanie smeruje.</w:t>
      </w:r>
    </w:p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(2) </w:t>
      </w:r>
      <w:r>
        <w:rPr>
          <w:sz w:val="24"/>
        </w:rPr>
        <w:t>Na vykonanie príkazu na zablokovanie vydaného v Slovenskej republike je príslušný súd, ktorý príkaz na zablokovanie vydal.</w:t>
      </w:r>
    </w:p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(3) </w:t>
      </w:r>
      <w:r>
        <w:rPr>
          <w:sz w:val="24"/>
        </w:rPr>
        <w:t>Okresný súd Banská Bystrica je príslušný</w:t>
      </w:r>
    </w:p>
    <w:p w:rsidR="00E649ED" w:rsidRDefault="00046B68">
      <w:pPr>
        <w:spacing w:after="200"/>
        <w:ind w:firstLine="300"/>
        <w:jc w:val="both"/>
      </w:pPr>
      <w:r>
        <w:rPr>
          <w:sz w:val="24"/>
        </w:rPr>
        <w:lastRenderedPageBreak/>
        <w:t xml:space="preserve">a) </w:t>
      </w:r>
      <w:r>
        <w:rPr>
          <w:sz w:val="24"/>
        </w:rPr>
        <w:t xml:space="preserve">ak </w:t>
      </w:r>
      <w:r>
        <w:rPr>
          <w:sz w:val="24"/>
        </w:rPr>
        <w:t>nie je možné určiť všeobecnú miestnu príslušnosť osoby uvedenej v odseku 1 v Slovenskej republike,</w:t>
      </w:r>
    </w:p>
    <w:p w:rsidR="00E649ED" w:rsidRDefault="00046B68">
      <w:pPr>
        <w:spacing w:after="200"/>
        <w:ind w:firstLine="300"/>
        <w:jc w:val="both"/>
      </w:pPr>
      <w:r>
        <w:rPr>
          <w:sz w:val="24"/>
        </w:rPr>
        <w:t xml:space="preserve">b) </w:t>
      </w:r>
      <w:r>
        <w:rPr>
          <w:sz w:val="24"/>
        </w:rPr>
        <w:t>na prijatie a vybavenie žiadosti  o poskytnutie informácie podľa osobitného predpisu</w:t>
      </w:r>
      <w:r>
        <w:rPr>
          <w:sz w:val="24"/>
          <w:vertAlign w:val="superscript"/>
        </w:rPr>
        <w:footnoteReference w:id="2"/>
      </w:r>
      <w:r>
        <w:rPr>
          <w:sz w:val="24"/>
        </w:rPr>
        <w:t>) (ďalej len „informačný orgán“),</w:t>
      </w:r>
    </w:p>
    <w:p w:rsidR="00E649ED" w:rsidRDefault="00046B68">
      <w:pPr>
        <w:spacing w:after="200"/>
        <w:ind w:firstLine="300"/>
        <w:jc w:val="both"/>
      </w:pPr>
      <w:r>
        <w:rPr>
          <w:sz w:val="24"/>
        </w:rPr>
        <w:t xml:space="preserve">c) </w:t>
      </w:r>
      <w:r>
        <w:rPr>
          <w:sz w:val="24"/>
        </w:rPr>
        <w:t>na vykonanie príkazu na zablokov</w:t>
      </w:r>
      <w:r>
        <w:rPr>
          <w:sz w:val="24"/>
        </w:rPr>
        <w:t>anie vydaného v inom členskom štáte Európskej únie,</w:t>
      </w:r>
    </w:p>
    <w:p w:rsidR="00E649ED" w:rsidRDefault="00046B68">
      <w:pPr>
        <w:spacing w:after="200"/>
        <w:ind w:firstLine="300"/>
        <w:jc w:val="both"/>
      </w:pPr>
      <w:r>
        <w:rPr>
          <w:sz w:val="24"/>
        </w:rPr>
        <w:t xml:space="preserve">d) </w:t>
      </w:r>
      <w:r>
        <w:rPr>
          <w:sz w:val="24"/>
        </w:rPr>
        <w:t>na zrušenie alebo obmedzenie výkonu príkazu na zablokovanie nariadeného na území Slovenskej republiky, ak ide o príkaz na zablokovanie vydaný v inom členskom štáte Európskej únie,</w:t>
      </w:r>
    </w:p>
    <w:p w:rsidR="00E649ED" w:rsidRDefault="00046B68">
      <w:pPr>
        <w:spacing w:after="200"/>
        <w:ind w:firstLine="300"/>
        <w:jc w:val="both"/>
      </w:pPr>
      <w:r>
        <w:rPr>
          <w:sz w:val="24"/>
        </w:rPr>
        <w:t xml:space="preserve">e) </w:t>
      </w:r>
      <w:r>
        <w:rPr>
          <w:sz w:val="24"/>
        </w:rPr>
        <w:t>na doručenie písom</w:t>
      </w:r>
      <w:r>
        <w:rPr>
          <w:sz w:val="24"/>
        </w:rPr>
        <w:t>ností podľa § 9 ods. 2.</w:t>
      </w:r>
    </w:p>
    <w:p w:rsidR="00E649ED" w:rsidRDefault="00046B68">
      <w:pPr>
        <w:jc w:val="center"/>
      </w:pPr>
      <w:r>
        <w:rPr>
          <w:b/>
          <w:sz w:val="24"/>
        </w:rPr>
        <w:t>§ 3</w:t>
      </w:r>
    </w:p>
    <w:p w:rsidR="00E649ED" w:rsidRDefault="00046B68">
      <w:pPr>
        <w:spacing w:after="200"/>
        <w:jc w:val="center"/>
      </w:pPr>
      <w:r>
        <w:rPr>
          <w:b/>
          <w:sz w:val="24"/>
        </w:rPr>
        <w:t>Zábezpeka</w:t>
      </w:r>
    </w:p>
    <w:p w:rsidR="00E649ED" w:rsidRDefault="00E649ED"/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(1) </w:t>
      </w:r>
      <w:r>
        <w:rPr>
          <w:sz w:val="24"/>
        </w:rPr>
        <w:t>Ak sa podľa osobitného predpisu</w:t>
      </w:r>
      <w:r>
        <w:rPr>
          <w:sz w:val="24"/>
          <w:vertAlign w:val="superscript"/>
        </w:rPr>
        <w:footnoteReference w:id="3"/>
      </w:r>
      <w:r>
        <w:rPr>
          <w:sz w:val="24"/>
        </w:rPr>
        <w:t>) skladá zábezpeka, súd rozhodne o výške zábezpeky v sume najmenej jednej tretiny sumy, ktorá sa má zablokovať, jej forme a lehote, v ktorej je potrebné zábezpeku zložiť, ktorá nemô</w:t>
      </w:r>
      <w:r>
        <w:rPr>
          <w:sz w:val="24"/>
        </w:rPr>
        <w:t>že byť kratšia ako 15 dní. Súd navrhovateľovi na tento účel zároveň oznámi údaje potrebné pre zloženie zábezpeky.</w:t>
      </w:r>
    </w:p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(2) </w:t>
      </w:r>
      <w:r>
        <w:rPr>
          <w:sz w:val="24"/>
        </w:rPr>
        <w:t xml:space="preserve">Zábezpeka sa skladá najmä v peniazoch. Zloženie peňazí možno nahradiť bankovou zárukou alebo neodvolateľným akreditívom v prospech osoby, </w:t>
      </w:r>
      <w:r>
        <w:rPr>
          <w:sz w:val="24"/>
        </w:rPr>
        <w:t>proti ktorej návrh na vydanie príkazu na zablokovanie smeruje.</w:t>
      </w:r>
    </w:p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(3) </w:t>
      </w:r>
      <w:r>
        <w:rPr>
          <w:sz w:val="24"/>
        </w:rPr>
        <w:t>O opravnom prostriedku osoby, proti ktorej príkaz na zablokovanie smeruje voči rozhodnutiu podľa odseku 1 za podmienok podľa osobitného predpisu</w:t>
      </w:r>
      <w:r>
        <w:rPr>
          <w:sz w:val="24"/>
          <w:vertAlign w:val="superscript"/>
        </w:rPr>
        <w:footnoteReference w:id="4"/>
      </w:r>
      <w:r>
        <w:rPr>
          <w:sz w:val="24"/>
        </w:rPr>
        <w:t>) rozhoduje súd, ktorý rozhodnutie vydal.</w:t>
      </w:r>
    </w:p>
    <w:p w:rsidR="00E649ED" w:rsidRDefault="00046B68">
      <w:pPr>
        <w:jc w:val="center"/>
      </w:pPr>
      <w:r>
        <w:rPr>
          <w:b/>
          <w:sz w:val="24"/>
        </w:rPr>
        <w:t xml:space="preserve">§ </w:t>
      </w:r>
      <w:r>
        <w:rPr>
          <w:b/>
          <w:sz w:val="24"/>
        </w:rPr>
        <w:t>4</w:t>
      </w:r>
    </w:p>
    <w:p w:rsidR="00E649ED" w:rsidRDefault="00046B68">
      <w:pPr>
        <w:spacing w:after="200"/>
        <w:jc w:val="center"/>
      </w:pPr>
      <w:r>
        <w:rPr>
          <w:b/>
          <w:sz w:val="24"/>
        </w:rPr>
        <w:t>Žiadosť o získanie informácií o bankovom účte</w:t>
      </w:r>
    </w:p>
    <w:p w:rsidR="00E649ED" w:rsidRDefault="00E649ED"/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(1) </w:t>
      </w:r>
      <w:r>
        <w:rPr>
          <w:sz w:val="24"/>
        </w:rPr>
        <w:t>Informačný orgán prijíma a vybavuje žiadosti cudzieho orgánu alebo súdu, ktorý je príslušný na vydanie príkazu na zablokovanie v Slovenskej republike o poskytnutie informácií podľa osobitného predpisu</w:t>
      </w:r>
      <w:r>
        <w:rPr>
          <w:sz w:val="24"/>
          <w:vertAlign w:val="superscript"/>
        </w:rPr>
        <w:footnoteReference w:id="5"/>
      </w:r>
      <w:r>
        <w:rPr>
          <w:sz w:val="24"/>
        </w:rPr>
        <w:t>).</w:t>
      </w:r>
    </w:p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(2) </w:t>
      </w:r>
      <w:r>
        <w:rPr>
          <w:sz w:val="24"/>
        </w:rPr>
        <w:t>Informačný orgán získa informácie podľa odseku 1 elektronickou komunikáciou automatizovaným spôsobom prostredníctvom osobitného informačného systému</w:t>
      </w:r>
      <w:r>
        <w:rPr>
          <w:sz w:val="24"/>
          <w:vertAlign w:val="superscript"/>
        </w:rPr>
        <w:footnoteReference w:id="6"/>
      </w:r>
      <w:r>
        <w:rPr>
          <w:sz w:val="24"/>
        </w:rPr>
        <w:t>) ; na tento účel sú banky a pobočky zahraničných bánk (ďalej len „banka“) povinné poskytnúť informačn</w:t>
      </w:r>
      <w:r>
        <w:rPr>
          <w:sz w:val="24"/>
        </w:rPr>
        <w:t>ému orgánu súčinnosť.</w:t>
      </w:r>
    </w:p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(3) </w:t>
      </w:r>
      <w:r>
        <w:rPr>
          <w:sz w:val="24"/>
        </w:rPr>
        <w:t>Ak nie je možné získať informácie spôsobom podľa odseku 2, informačný orgán prijíma a vybavuje len žiadosti cudzieho orgánu o poskytnutie informácií a súd, ktorý je príslušný na vydanie príkazu v Slovenskej republike vybavuje žiad</w:t>
      </w:r>
      <w:r>
        <w:rPr>
          <w:sz w:val="24"/>
        </w:rPr>
        <w:t>osti o informácie v rámci konania o príkaze  na zablokovanie tak, že môžu uložiť povinnosť</w:t>
      </w:r>
    </w:p>
    <w:p w:rsidR="00E649ED" w:rsidRDefault="00046B68">
      <w:pPr>
        <w:spacing w:after="200"/>
        <w:ind w:firstLine="300"/>
        <w:jc w:val="both"/>
      </w:pPr>
      <w:r>
        <w:rPr>
          <w:sz w:val="24"/>
        </w:rPr>
        <w:lastRenderedPageBreak/>
        <w:t xml:space="preserve">a) </w:t>
      </w:r>
      <w:r>
        <w:rPr>
          <w:sz w:val="24"/>
        </w:rPr>
        <w:t>banke poskytnúť správu o záležitostiach podľa osobitného predpisu</w:t>
      </w:r>
      <w:r>
        <w:rPr>
          <w:sz w:val="24"/>
          <w:vertAlign w:val="superscript"/>
        </w:rPr>
        <w:footnoteReference w:id="7"/>
      </w:r>
      <w:r>
        <w:rPr>
          <w:sz w:val="24"/>
        </w:rPr>
        <w:t>) týkajúcich sa osoby, proti ktorej návrh na vydanie príkazu na zablokovanie smeruje,</w:t>
      </w:r>
    </w:p>
    <w:p w:rsidR="00E649ED" w:rsidRDefault="00046B68">
      <w:pPr>
        <w:spacing w:after="200"/>
        <w:ind w:firstLine="300"/>
        <w:jc w:val="both"/>
      </w:pPr>
      <w:r>
        <w:rPr>
          <w:sz w:val="24"/>
        </w:rPr>
        <w:t xml:space="preserve">b) </w:t>
      </w:r>
      <w:r>
        <w:rPr>
          <w:sz w:val="24"/>
        </w:rPr>
        <w:t xml:space="preserve">osobe, </w:t>
      </w:r>
      <w:r>
        <w:rPr>
          <w:sz w:val="24"/>
        </w:rPr>
        <w:t>proti ktorej návrh na vydanie príkazu na zablokovanie smeruje, aby v určenej lehote, ktorá nemôže byť kratšia ako 15 dní, súdu oznámila, v ktorej banke má vedené bankové účty</w:t>
      </w:r>
      <w:r>
        <w:rPr>
          <w:sz w:val="24"/>
          <w:vertAlign w:val="superscript"/>
        </w:rPr>
        <w:footnoteReference w:id="8"/>
      </w:r>
      <w:r>
        <w:rPr>
          <w:sz w:val="24"/>
        </w:rPr>
        <w:t>) (ďalej len „účet“).</w:t>
      </w:r>
    </w:p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(4) </w:t>
      </w:r>
      <w:r>
        <w:rPr>
          <w:sz w:val="24"/>
        </w:rPr>
        <w:t>Ak informačný orgán alebo súd uložil povinnosť podľa od</w:t>
      </w:r>
      <w:r>
        <w:rPr>
          <w:sz w:val="24"/>
        </w:rPr>
        <w:t>seku 3 písm. b), nariadi zároveň aj bez návrhu neodkladné opatrenie, ktorým dlžníkovi zakáže nakladať s prostriedkami na dotknutom účte až do výšky, na ktorú sa vzťahuje návrh na vydanie príkazu na zablokovanie. Ustanovenia § 7 ods. 2 až 6 sa použijú prime</w:t>
      </w:r>
      <w:r>
        <w:rPr>
          <w:sz w:val="24"/>
        </w:rPr>
        <w:t>rane.</w:t>
      </w:r>
    </w:p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(5) </w:t>
      </w:r>
      <w:r>
        <w:rPr>
          <w:sz w:val="24"/>
        </w:rPr>
        <w:t xml:space="preserve">Prevádzkovateľ systému6) alebo banka je povinný poskytnúť súčinnosť podľa odseku 2 bez zbytočného odkladu a bezodplatne okrem náhrady hotových výdavkov. Ustanovenia osobitných predpisov upravujúcich nároky na plnenie za poskytnutie súčinnosti sa </w:t>
      </w:r>
      <w:r>
        <w:rPr>
          <w:sz w:val="24"/>
        </w:rPr>
        <w:t>nepoužijú.</w:t>
      </w:r>
    </w:p>
    <w:p w:rsidR="00E649ED" w:rsidRDefault="00046B68">
      <w:pPr>
        <w:jc w:val="center"/>
      </w:pPr>
      <w:r>
        <w:rPr>
          <w:b/>
          <w:sz w:val="24"/>
        </w:rPr>
        <w:t>§ 5</w:t>
      </w:r>
    </w:p>
    <w:p w:rsidR="00E649ED" w:rsidRDefault="00046B68">
      <w:pPr>
        <w:spacing w:after="200"/>
        <w:jc w:val="center"/>
      </w:pPr>
      <w:r>
        <w:rPr>
          <w:b/>
          <w:sz w:val="24"/>
        </w:rPr>
        <w:t>Rozhodnutie o návrhu na vydanie príkazu na zablokovanie</w:t>
      </w:r>
    </w:p>
    <w:p w:rsidR="00E649ED" w:rsidRDefault="00E649ED"/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(1) </w:t>
      </w:r>
      <w:r>
        <w:rPr>
          <w:sz w:val="24"/>
        </w:rPr>
        <w:t>Ak sú splnené podmienky na vydanie príkazu na zablokovanie, súd ho vydá vo forme podľa osobitného predpisu</w:t>
      </w:r>
      <w:r>
        <w:rPr>
          <w:sz w:val="24"/>
          <w:vertAlign w:val="superscript"/>
        </w:rPr>
        <w:footnoteReference w:id="9"/>
      </w:r>
      <w:r>
        <w:rPr>
          <w:sz w:val="24"/>
        </w:rPr>
        <w:t>); inak návrh sčasti alebo celkom osobitným uznesením zamietne.</w:t>
      </w:r>
    </w:p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(2) </w:t>
      </w:r>
      <w:r>
        <w:rPr>
          <w:sz w:val="24"/>
        </w:rPr>
        <w:t>Rozhodnutie o návrhu na vydanie príkazu na zablokovanie sa doručí navrhovateľovi.</w:t>
      </w:r>
    </w:p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(3) </w:t>
      </w:r>
      <w:r>
        <w:rPr>
          <w:sz w:val="24"/>
        </w:rPr>
        <w:t>Ak sa má príkaz na zablokovanie vykonať v inom členskom štáte Európskej únie, súd, ktorý príkaz na zablokovanie vydal, doručí navrhovateľovi príslušné tlačivá podľa osobi</w:t>
      </w:r>
      <w:r>
        <w:rPr>
          <w:sz w:val="24"/>
        </w:rPr>
        <w:t>tného predpisu</w:t>
      </w:r>
      <w:r>
        <w:rPr>
          <w:sz w:val="24"/>
          <w:vertAlign w:val="superscript"/>
        </w:rPr>
        <w:footnoteReference w:id="10"/>
      </w:r>
      <w:r>
        <w:rPr>
          <w:sz w:val="24"/>
        </w:rPr>
        <w:t>) na podanie návrhu na výkon príkazu.</w:t>
      </w:r>
    </w:p>
    <w:p w:rsidR="00E649ED" w:rsidRDefault="00046B68">
      <w:pPr>
        <w:jc w:val="center"/>
      </w:pPr>
      <w:r>
        <w:rPr>
          <w:b/>
          <w:sz w:val="24"/>
        </w:rPr>
        <w:t>§ 6</w:t>
      </w:r>
    </w:p>
    <w:p w:rsidR="00E649ED" w:rsidRDefault="00046B68">
      <w:pPr>
        <w:spacing w:after="200"/>
        <w:jc w:val="center"/>
      </w:pPr>
      <w:r>
        <w:rPr>
          <w:b/>
          <w:sz w:val="24"/>
        </w:rPr>
        <w:t>Výkon príkazu na zablokovanie</w:t>
      </w:r>
    </w:p>
    <w:p w:rsidR="00E649ED" w:rsidRDefault="00E649ED"/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(1) </w:t>
      </w:r>
      <w:r>
        <w:rPr>
          <w:sz w:val="24"/>
        </w:rPr>
        <w:t>Príkaz na zablokovanie sa vykoná</w:t>
      </w:r>
    </w:p>
    <w:p w:rsidR="00E649ED" w:rsidRDefault="00046B68">
      <w:pPr>
        <w:spacing w:after="200"/>
        <w:ind w:firstLine="300"/>
        <w:jc w:val="both"/>
      </w:pPr>
      <w:r>
        <w:rPr>
          <w:sz w:val="24"/>
        </w:rPr>
        <w:t xml:space="preserve">a) </w:t>
      </w:r>
      <w:r>
        <w:rPr>
          <w:sz w:val="24"/>
        </w:rPr>
        <w:t>na návrh veriteľa alebo súdu, ktorý príkaz vydal, ak ide o príkaz na zablokovanie vydaný v inom členskom štáte Európskej únie,</w:t>
      </w:r>
    </w:p>
    <w:p w:rsidR="00E649ED" w:rsidRDefault="00046B68">
      <w:pPr>
        <w:spacing w:after="200"/>
        <w:ind w:firstLine="300"/>
        <w:jc w:val="both"/>
      </w:pPr>
      <w:r>
        <w:rPr>
          <w:sz w:val="24"/>
        </w:rPr>
        <w:t>b</w:t>
      </w:r>
      <w:r>
        <w:rPr>
          <w:sz w:val="24"/>
        </w:rPr>
        <w:t xml:space="preserve">) </w:t>
      </w:r>
      <w:r>
        <w:rPr>
          <w:sz w:val="24"/>
        </w:rPr>
        <w:t>aj bez návrhu, ak ide o príkaz vydaný v Slovenskej republike, ktorý sa má vykonať v Slovenskej republike; konanie je v takom prípade začaté dňom vydania príkazu na zablokovanie.</w:t>
      </w:r>
    </w:p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(2) </w:t>
      </w:r>
      <w:r>
        <w:rPr>
          <w:sz w:val="24"/>
        </w:rPr>
        <w:t>Ak sa začalo konanie o výkon príkazu podľa odseku 1 písm. b), súd, ktorý</w:t>
      </w:r>
      <w:r>
        <w:rPr>
          <w:sz w:val="24"/>
        </w:rPr>
        <w:t xml:space="preserve"> príkaz vydal, pokračuje v úkonoch na jeho vykonanie bez zbytočného odkladu.</w:t>
      </w:r>
    </w:p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(3) </w:t>
      </w:r>
      <w:r>
        <w:rPr>
          <w:sz w:val="24"/>
        </w:rPr>
        <w:t xml:space="preserve">Ak je Slovenská republika jediným členským štátom Európskej únie, v ktorom sa má príkaz na zablokovanie vykonať a osoba, proti ktorej príkaz na zablokovanie smeruje má </w:t>
      </w:r>
      <w:r>
        <w:rPr>
          <w:sz w:val="24"/>
        </w:rPr>
        <w:lastRenderedPageBreak/>
        <w:t>bydlisk</w:t>
      </w:r>
      <w:r>
        <w:rPr>
          <w:sz w:val="24"/>
        </w:rPr>
        <w:t>o na území Slovenskej republiky, k návrhu na vykonanie príkazu sa pripoja písomnosti podľa osobitného predpisu</w:t>
      </w:r>
      <w:r>
        <w:rPr>
          <w:sz w:val="24"/>
          <w:vertAlign w:val="superscript"/>
        </w:rPr>
        <w:footnoteReference w:id="11"/>
      </w:r>
      <w:r>
        <w:rPr>
          <w:sz w:val="24"/>
        </w:rPr>
        <w:t>) .</w:t>
      </w:r>
    </w:p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(4) </w:t>
      </w:r>
      <w:r>
        <w:rPr>
          <w:sz w:val="24"/>
        </w:rPr>
        <w:t>Banka je oprávnená požadovať od osoby, proti ktorej sa vykonal príkaz na zablokovanie náhradu hotových výdavkov a použiť na ich započítan</w:t>
      </w:r>
      <w:r>
        <w:rPr>
          <w:sz w:val="24"/>
        </w:rPr>
        <w:t>ie peňažné prostriedky na účte tejto osoby.</w:t>
      </w:r>
    </w:p>
    <w:p w:rsidR="00E649ED" w:rsidRDefault="00046B68">
      <w:pPr>
        <w:spacing w:after="200"/>
        <w:jc w:val="center"/>
      </w:pPr>
      <w:r>
        <w:rPr>
          <w:b/>
          <w:sz w:val="24"/>
        </w:rPr>
        <w:t>§ 7</w:t>
      </w:r>
    </w:p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(1) </w:t>
      </w:r>
      <w:r>
        <w:rPr>
          <w:sz w:val="24"/>
        </w:rPr>
        <w:t>Súd nariadi banke, ktorá vedie účet osoby, proti ktorej príkaz na zablokovanie smeruje, aby zablokovala sumu peňažných prostriedkov do výšky uvedenej v príkaze na zablokovanie z účtu tejto osoby a neumožn</w:t>
      </w:r>
      <w:r>
        <w:rPr>
          <w:sz w:val="24"/>
        </w:rPr>
        <w:t>ila tejto osobe s peňažnými prostriedkami do tejto výšky nakladať.</w:t>
      </w:r>
    </w:p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(2) </w:t>
      </w:r>
      <w:r>
        <w:rPr>
          <w:sz w:val="24"/>
        </w:rPr>
        <w:t>Zo zablokovania sú vylúčené peňažné prostriedky</w:t>
      </w:r>
    </w:p>
    <w:p w:rsidR="00E649ED" w:rsidRDefault="00046B68">
      <w:pPr>
        <w:spacing w:after="200"/>
        <w:ind w:firstLine="300"/>
        <w:jc w:val="both"/>
      </w:pPr>
      <w:r>
        <w:rPr>
          <w:sz w:val="24"/>
        </w:rPr>
        <w:t xml:space="preserve">a) </w:t>
      </w:r>
      <w:r>
        <w:rPr>
          <w:sz w:val="24"/>
        </w:rPr>
        <w:t>na účtoch, ktoré patria osobám, na ktorých majetok nemôže byť vedená exekúcia,</w:t>
      </w:r>
    </w:p>
    <w:p w:rsidR="00E649ED" w:rsidRDefault="00046B68">
      <w:pPr>
        <w:spacing w:after="200"/>
        <w:ind w:firstLine="300"/>
        <w:jc w:val="both"/>
      </w:pPr>
      <w:r>
        <w:rPr>
          <w:sz w:val="24"/>
        </w:rPr>
        <w:t xml:space="preserve">b) </w:t>
      </w:r>
      <w:r>
        <w:rPr>
          <w:sz w:val="24"/>
        </w:rPr>
        <w:t>na účtoch, na ktoré nemôže byť vedená exekúcia,</w:t>
      </w:r>
    </w:p>
    <w:p w:rsidR="00E649ED" w:rsidRDefault="00046B68">
      <w:pPr>
        <w:spacing w:after="200"/>
        <w:ind w:firstLine="300"/>
        <w:jc w:val="both"/>
      </w:pPr>
      <w:r>
        <w:rPr>
          <w:sz w:val="24"/>
        </w:rPr>
        <w:t xml:space="preserve">c) </w:t>
      </w:r>
      <w:r>
        <w:rPr>
          <w:sz w:val="24"/>
        </w:rPr>
        <w:t>n</w:t>
      </w:r>
      <w:r>
        <w:rPr>
          <w:sz w:val="24"/>
        </w:rPr>
        <w:t>a účte, ktoré nepodliehajú exekúcii.</w:t>
      </w:r>
    </w:p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(3) </w:t>
      </w:r>
      <w:r>
        <w:rPr>
          <w:sz w:val="24"/>
        </w:rPr>
        <w:t>Na postup pri označení prostriedkov, ktoré nepodliehajú zablokovaniu a ich výšky sa primerane použijú ustanovenia o pohľadávkach nepodliehajúcich exekúcii prikázaním pohľadávky z účtu</w:t>
      </w:r>
      <w:r>
        <w:rPr>
          <w:sz w:val="24"/>
          <w:vertAlign w:val="superscript"/>
        </w:rPr>
        <w:footnoteReference w:id="12"/>
      </w:r>
      <w:r>
        <w:rPr>
          <w:sz w:val="24"/>
        </w:rPr>
        <w:t>).</w:t>
      </w:r>
    </w:p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(4) </w:t>
      </w:r>
      <w:r>
        <w:rPr>
          <w:sz w:val="24"/>
        </w:rPr>
        <w:t xml:space="preserve">Ak predpisy o exekučnom </w:t>
      </w:r>
      <w:r>
        <w:rPr>
          <w:sz w:val="24"/>
        </w:rPr>
        <w:t>konaní stanovujú, že určité prostriedky na účte v banke nepodliehajú exekúcii a na ich vyplatenie dlžníkovi je potrebný súhlas exekútora12), tento súhlas sa na účely vylúčenia peňažných prostriedkov zo zablokovania nevyžaduje.</w:t>
      </w:r>
    </w:p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(5) </w:t>
      </w:r>
      <w:r>
        <w:rPr>
          <w:sz w:val="24"/>
        </w:rPr>
        <w:t>Poradie pre výkon príkazo</w:t>
      </w:r>
      <w:r>
        <w:rPr>
          <w:sz w:val="24"/>
        </w:rPr>
        <w:t>v na zablokovanie týkajúcich sa toho istého účtu vedeného v banke sa spravuje dňom, keď sa banke doručil príkaz na zablokovanie. Niekoľko príkazov na zablokovanie doručených v ten istý deň má rovnaké poradie. Ak nestačia prostriedky na účte povinného na za</w:t>
      </w:r>
      <w:r>
        <w:rPr>
          <w:sz w:val="24"/>
        </w:rPr>
        <w:t>blokovanie všetkých súm uvedených v príkazoch, zablokujú sa pomerne.</w:t>
      </w:r>
    </w:p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(6) </w:t>
      </w:r>
      <w:r>
        <w:rPr>
          <w:sz w:val="24"/>
        </w:rPr>
        <w:t>Výkon príkazu na zablokovanie nemá odkladný účinok na výkon exekúcie ani nezakladá právo na prednostné uspokojenie sa zo zablokovanej sumy.</w:t>
      </w:r>
    </w:p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(7) </w:t>
      </w:r>
      <w:r>
        <w:rPr>
          <w:sz w:val="24"/>
        </w:rPr>
        <w:t>Vyhlásenie o zablokovaní peňažných pros</w:t>
      </w:r>
      <w:r>
        <w:rPr>
          <w:sz w:val="24"/>
        </w:rPr>
        <w:t>triedkov vydá a zašle podľa osobitného predpisu</w:t>
      </w:r>
      <w:r>
        <w:rPr>
          <w:sz w:val="24"/>
          <w:vertAlign w:val="superscript"/>
        </w:rPr>
        <w:footnoteReference w:id="13"/>
      </w:r>
      <w:r>
        <w:rPr>
          <w:sz w:val="24"/>
        </w:rPr>
        <w:t>) banka.</w:t>
      </w:r>
    </w:p>
    <w:p w:rsidR="00E649ED" w:rsidRDefault="00046B68">
      <w:pPr>
        <w:jc w:val="center"/>
      </w:pPr>
      <w:r>
        <w:rPr>
          <w:b/>
          <w:sz w:val="24"/>
        </w:rPr>
        <w:t>§ 8</w:t>
      </w:r>
    </w:p>
    <w:p w:rsidR="00E649ED" w:rsidRDefault="00046B68">
      <w:pPr>
        <w:spacing w:after="200"/>
        <w:jc w:val="center"/>
      </w:pPr>
      <w:r>
        <w:rPr>
          <w:b/>
          <w:sz w:val="24"/>
        </w:rPr>
        <w:t>Uvoľnenie presahujúcej sumy</w:t>
      </w:r>
    </w:p>
    <w:p w:rsidR="00E649ED" w:rsidRDefault="00E649ED"/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(1) </w:t>
      </w:r>
      <w:r>
        <w:rPr>
          <w:sz w:val="24"/>
        </w:rPr>
        <w:t>Na prijatie žiadosti navrhovateľa podľa osobitného predpisu</w:t>
      </w:r>
      <w:r>
        <w:rPr>
          <w:sz w:val="24"/>
          <w:vertAlign w:val="superscript"/>
        </w:rPr>
        <w:footnoteReference w:id="14"/>
      </w:r>
      <w:r>
        <w:rPr>
          <w:sz w:val="24"/>
        </w:rPr>
        <w:t>) je príslušný súd, ktorý nariadil výkon príkazu na zablokovanie.</w:t>
      </w:r>
    </w:p>
    <w:p w:rsidR="00E649ED" w:rsidRDefault="00046B68">
      <w:pPr>
        <w:spacing w:after="200"/>
        <w:ind w:firstLine="450"/>
        <w:jc w:val="both"/>
      </w:pPr>
      <w:r>
        <w:rPr>
          <w:sz w:val="24"/>
        </w:rPr>
        <w:lastRenderedPageBreak/>
        <w:t xml:space="preserve">(2) </w:t>
      </w:r>
      <w:r>
        <w:rPr>
          <w:sz w:val="24"/>
        </w:rPr>
        <w:t xml:space="preserve">Súd, ktorý nariadil výkon </w:t>
      </w:r>
      <w:r>
        <w:rPr>
          <w:sz w:val="24"/>
        </w:rPr>
        <w:t>príkazu môže aj bez návrhu zrušiť alebo obmedziť blokovanie účtu alebo účtov, ak sa na jednom alebo viacerých účtoch zablokovala vyššia suma ako sa mala podľa príkazu na zablokovanie zablokovať.</w:t>
      </w:r>
    </w:p>
    <w:p w:rsidR="00E649ED" w:rsidRDefault="00046B68">
      <w:pPr>
        <w:jc w:val="center"/>
      </w:pPr>
      <w:r>
        <w:rPr>
          <w:b/>
          <w:sz w:val="24"/>
        </w:rPr>
        <w:t>§ 9</w:t>
      </w:r>
    </w:p>
    <w:p w:rsidR="00E649ED" w:rsidRDefault="00046B68">
      <w:pPr>
        <w:spacing w:after="200"/>
        <w:jc w:val="center"/>
      </w:pPr>
      <w:r>
        <w:rPr>
          <w:b/>
          <w:sz w:val="24"/>
        </w:rPr>
        <w:t>Doručenie osobe, proti ktorej sa vykonal príkaz na zablok</w:t>
      </w:r>
      <w:r>
        <w:rPr>
          <w:b/>
          <w:sz w:val="24"/>
        </w:rPr>
        <w:t>ovanie</w:t>
      </w:r>
    </w:p>
    <w:p w:rsidR="00E649ED" w:rsidRDefault="00E649ED"/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(1) </w:t>
      </w:r>
      <w:r>
        <w:rPr>
          <w:sz w:val="24"/>
        </w:rPr>
        <w:t>Ak má osoba, proti ktorej sa vykonal príkaz na zablokovanie vydaný v Slovenskej republike bydlisko alebo sídlo na území Slovenskej republiky, písomnosti podľa osobitného predpisu</w:t>
      </w:r>
      <w:r>
        <w:rPr>
          <w:sz w:val="24"/>
          <w:vertAlign w:val="superscript"/>
        </w:rPr>
        <w:footnoteReference w:id="15"/>
      </w:r>
      <w:r>
        <w:rPr>
          <w:sz w:val="24"/>
        </w:rPr>
        <w:t>) doručí tejto osobe v lehote podľa osobitného predpisu</w:t>
      </w:r>
      <w:r>
        <w:rPr>
          <w:sz w:val="24"/>
          <w:vertAlign w:val="superscript"/>
        </w:rPr>
        <w:footnoteReference w:id="16"/>
      </w:r>
      <w:r>
        <w:rPr>
          <w:sz w:val="24"/>
        </w:rPr>
        <w:t>)  súd, k</w:t>
      </w:r>
      <w:r>
        <w:rPr>
          <w:sz w:val="24"/>
        </w:rPr>
        <w:t>torý vydal príkaz na zablokovanie.</w:t>
      </w:r>
    </w:p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(2) </w:t>
      </w:r>
      <w:r>
        <w:rPr>
          <w:sz w:val="24"/>
        </w:rPr>
        <w:t xml:space="preserve">Ak má osoba, proti ktorej sa vykonal príkaz na zablokovanie vydaný v inom členskom štáte Európskej únie bydlisko alebo sídlo na území Slovenskej republiky, písomnosti podľa odseku 1 jej bezodkladne doručí súd podľa § </w:t>
      </w:r>
      <w:r>
        <w:rPr>
          <w:sz w:val="24"/>
        </w:rPr>
        <w:t>2 ods. 3 písm. e).</w:t>
      </w:r>
    </w:p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(3) </w:t>
      </w:r>
      <w:r>
        <w:rPr>
          <w:sz w:val="24"/>
        </w:rPr>
        <w:t>Ak má osoba, proti ktorej sa vykonal príkaz na zablokovanie vydaný v Slovenskej republike bydlisko alebo sídlo v inom členskom štáte Európskej únie, písomnosti podľa odseku 1 doručí súd, ktorý vydal príkaz na zablokovanie, príslušném</w:t>
      </w:r>
      <w:r>
        <w:rPr>
          <w:sz w:val="24"/>
        </w:rPr>
        <w:t>u orgánu na doručovanie podľa osobitného predpisu</w:t>
      </w:r>
      <w:r>
        <w:rPr>
          <w:sz w:val="24"/>
          <w:vertAlign w:val="superscript"/>
        </w:rPr>
        <w:footnoteReference w:id="17"/>
      </w:r>
      <w:r>
        <w:rPr>
          <w:sz w:val="24"/>
        </w:rPr>
        <w:t>) .</w:t>
      </w:r>
    </w:p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(4) </w:t>
      </w:r>
      <w:r>
        <w:rPr>
          <w:sz w:val="24"/>
        </w:rPr>
        <w:t>Ak má osoba, proti ktorej príkaz na zablokovanie vydaný v Slovenskej republike smeruje bydlisko v štáte, ktorý nie je členským štátom Európskej únie, použijú sa na doručenie ustanovenia Civilného sp</w:t>
      </w:r>
      <w:r>
        <w:rPr>
          <w:sz w:val="24"/>
        </w:rPr>
        <w:t>orového poriadku primerane.</w:t>
      </w:r>
    </w:p>
    <w:p w:rsidR="00E649ED" w:rsidRDefault="00046B68">
      <w:pPr>
        <w:jc w:val="center"/>
      </w:pPr>
      <w:r>
        <w:rPr>
          <w:b/>
          <w:sz w:val="24"/>
        </w:rPr>
        <w:t>§ 10</w:t>
      </w:r>
    </w:p>
    <w:p w:rsidR="00E649ED" w:rsidRDefault="00046B68">
      <w:pPr>
        <w:spacing w:after="200"/>
        <w:jc w:val="center"/>
      </w:pPr>
      <w:r>
        <w:rPr>
          <w:b/>
          <w:sz w:val="24"/>
        </w:rPr>
        <w:t>Opravné prostriedky</w:t>
      </w:r>
    </w:p>
    <w:p w:rsidR="00E649ED" w:rsidRDefault="00E649ED"/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(1) </w:t>
      </w:r>
      <w:r>
        <w:rPr>
          <w:sz w:val="24"/>
        </w:rPr>
        <w:t>O opravnom prostriedku voči príkazu na zablokovanie, ktorý je oprávnená podať osoba proti ktorej príkaz na zablokovanie smeruje podľa osobitného predpisu</w:t>
      </w:r>
      <w:r>
        <w:rPr>
          <w:sz w:val="24"/>
          <w:vertAlign w:val="superscript"/>
        </w:rPr>
        <w:footnoteReference w:id="18"/>
      </w:r>
      <w:r>
        <w:rPr>
          <w:sz w:val="24"/>
        </w:rPr>
        <w:t>), rozhoduje súd, ktorý príkaz na zablokovan</w:t>
      </w:r>
      <w:r>
        <w:rPr>
          <w:sz w:val="24"/>
        </w:rPr>
        <w:t>ie vydal.</w:t>
      </w:r>
    </w:p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(2) </w:t>
      </w:r>
      <w:r>
        <w:rPr>
          <w:sz w:val="24"/>
        </w:rPr>
        <w:t>O opravnom prostriedku voči výkonu príkazu na zablokovanie, ktorý je oprávnená podať osoba, voči ktorej sa príkaz na zablokovanie vykonal podľa osobitného predpisu</w:t>
      </w:r>
      <w:r>
        <w:rPr>
          <w:sz w:val="24"/>
          <w:vertAlign w:val="superscript"/>
        </w:rPr>
        <w:footnoteReference w:id="19"/>
      </w:r>
      <w:r>
        <w:rPr>
          <w:sz w:val="24"/>
        </w:rPr>
        <w:t>), rozhoduje súd, ktorý príkaz na zablokovanie vykonal.</w:t>
      </w:r>
    </w:p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(3) </w:t>
      </w:r>
      <w:r>
        <w:rPr>
          <w:sz w:val="24"/>
        </w:rPr>
        <w:t>O opravnom prostri</w:t>
      </w:r>
      <w:r>
        <w:rPr>
          <w:sz w:val="24"/>
        </w:rPr>
        <w:t>edku veriteľa z dôvodu podľa osobitného predpisu</w:t>
      </w:r>
      <w:r>
        <w:rPr>
          <w:sz w:val="24"/>
          <w:vertAlign w:val="superscript"/>
        </w:rPr>
        <w:footnoteReference w:id="20"/>
      </w:r>
      <w:r>
        <w:rPr>
          <w:sz w:val="24"/>
        </w:rPr>
        <w:t>) rozhoduje súd, ktorý príkaz na zablokovanie vykonal.</w:t>
      </w:r>
    </w:p>
    <w:p w:rsidR="00E649ED" w:rsidRDefault="00046B68">
      <w:pPr>
        <w:spacing w:after="200"/>
        <w:jc w:val="center"/>
      </w:pPr>
      <w:r>
        <w:rPr>
          <w:b/>
          <w:sz w:val="24"/>
        </w:rPr>
        <w:t>§ 11</w:t>
      </w:r>
    </w:p>
    <w:p w:rsidR="00E649ED" w:rsidRDefault="00046B68">
      <w:pPr>
        <w:spacing w:after="200"/>
        <w:ind w:firstLine="450"/>
        <w:jc w:val="both"/>
      </w:pPr>
      <w:r>
        <w:rPr>
          <w:sz w:val="24"/>
        </w:rPr>
        <w:t xml:space="preserve">(1) </w:t>
      </w:r>
      <w:r>
        <w:rPr>
          <w:sz w:val="24"/>
        </w:rPr>
        <w:t>Na poskytnutie zábezpeky namiesto zablokovania peňažných prostriedkov na účte podľa osobitného predpisu</w:t>
      </w:r>
      <w:r>
        <w:rPr>
          <w:sz w:val="24"/>
          <w:vertAlign w:val="superscript"/>
        </w:rPr>
        <w:footnoteReference w:id="21"/>
      </w:r>
      <w:r>
        <w:rPr>
          <w:sz w:val="24"/>
        </w:rPr>
        <w:t>) sa použije § 3 rovnako.</w:t>
      </w:r>
    </w:p>
    <w:p w:rsidR="00E649ED" w:rsidRDefault="00046B68">
      <w:pPr>
        <w:spacing w:after="200"/>
        <w:ind w:firstLine="450"/>
        <w:jc w:val="both"/>
      </w:pPr>
      <w:r>
        <w:rPr>
          <w:sz w:val="24"/>
        </w:rPr>
        <w:lastRenderedPageBreak/>
        <w:t xml:space="preserve">(2) </w:t>
      </w:r>
      <w:r>
        <w:rPr>
          <w:sz w:val="24"/>
        </w:rPr>
        <w:t>Na náhrad</w:t>
      </w:r>
      <w:r>
        <w:rPr>
          <w:sz w:val="24"/>
        </w:rPr>
        <w:t>u škody sa popri ustanoveniach osobitného predpisu</w:t>
      </w:r>
      <w:r>
        <w:rPr>
          <w:sz w:val="24"/>
          <w:vertAlign w:val="superscript"/>
        </w:rPr>
        <w:footnoteReference w:id="22"/>
      </w:r>
      <w:r>
        <w:rPr>
          <w:sz w:val="24"/>
        </w:rPr>
        <w:t>) použije § 340 Civilného sporového poriadku.</w:t>
      </w:r>
    </w:p>
    <w:p w:rsidR="00E649ED" w:rsidRDefault="00E649ED"/>
    <w:p w:rsidR="00F33EBE" w:rsidRDefault="00F33EBE" w:rsidP="00F33EBE">
      <w:pPr>
        <w:spacing w:after="200"/>
        <w:jc w:val="center"/>
      </w:pPr>
      <w:r>
        <w:rPr>
          <w:b/>
          <w:sz w:val="24"/>
        </w:rPr>
        <w:t>Čl. II</w:t>
      </w:r>
    </w:p>
    <w:p w:rsidR="00F33EBE" w:rsidRDefault="00F33EBE" w:rsidP="00F33EBE"/>
    <w:p w:rsidR="00F33EBE" w:rsidRDefault="00F33EBE" w:rsidP="00F33EBE">
      <w:pPr>
        <w:jc w:val="both"/>
      </w:pPr>
    </w:p>
    <w:p w:rsidR="00F33EBE" w:rsidRDefault="00F33EBE" w:rsidP="00F33EBE">
      <w:pPr>
        <w:spacing w:after="200"/>
        <w:jc w:val="both"/>
      </w:pPr>
      <w:r>
        <w:rPr>
          <w:sz w:val="24"/>
        </w:rPr>
        <w:t>Zákon Slovenskej národnej rady č. 71/1992 Zb. o súdnych poplatkoch a poplatku za výpis z registra trestov v znení zákona č. 89/1993 Z. z., zákona č. 150/1993 Z. z., zákona č. 85/1994 Z. z., zákona č. 232/1995 Z. z., zákona č. 12/1998 Z. z., zákona č. 457/2000 Z. z., zákona č. 162/2001 Z. z., zákona č. 418/2002 Z. z., zákona č. 531/2003 Z. z., zákona č. 215/2004 Z. z., zákona č. 382/2004 Z. z., zákona č. 420/2004 Z. z., zákona č. 432/2004 Z. z., zákona č. 341/2005 Z. z., zákona č. 621/2005 Z. z., zákona č. 24/2007 Z. z., zákona č. 273/2007 Z. z., zákona č. 330/2007 Z. z., zákona č. 511/2007 Z. z., zákona č. 264/2008 Z. z., zákona č. 465/2008 Z. z., zákona č. 71/2009 Z. z., zákona č. 503/2009 Z. z., zákona č. 136/2010 Z. z., zákona č. 381/2011 Z. z., nálezu Ústavného súdu Slovenskej republiky č. 286/2012 Z. z., predpisu č. 297/2012 Z. z., zákona č. 64/2013 Z. z., zákona č. 125/2013 Z. z., zákona č. 347/2013 Z. z., zákona č. 357/2013 Z. z., zákona č. 204/2014 Z. z., zákona č. 87/2015 Z. z., zákona č. 253/2015 Z. z., zákona č. 267/2015 Z. z., zákona č. 273/2015 Z. z., zákona č. 390/2015 Z. z., zákona č. 402/2015 Z. z., zákona č. 438/2015 Z. z., zákona č. 91/2016 Z. z. a zákona č. 125/2016 Z. z. sa dopĺňa takto:</w:t>
      </w:r>
    </w:p>
    <w:p w:rsidR="00F33EBE" w:rsidRDefault="00F33EBE" w:rsidP="00F33EBE">
      <w:pPr>
        <w:spacing w:after="200"/>
        <w:ind w:firstLine="330"/>
        <w:jc w:val="both"/>
        <w:rPr>
          <w:sz w:val="24"/>
        </w:rPr>
      </w:pPr>
      <w:r>
        <w:rPr>
          <w:sz w:val="24"/>
        </w:rPr>
        <w:t xml:space="preserve"> V prílohe Sadzobník súdnych poplatkov sa položka 1 dopĺňa písmenami d) až g), ktoré znejú:   </w:t>
      </w:r>
    </w:p>
    <w:p w:rsidR="00F33EBE" w:rsidRDefault="00F33EBE" w:rsidP="00F33EBE">
      <w:pPr>
        <w:spacing w:after="200"/>
        <w:ind w:firstLine="330"/>
        <w:jc w:val="both"/>
        <w:rPr>
          <w:sz w:val="24"/>
        </w:rPr>
      </w:pPr>
      <w:r>
        <w:rPr>
          <w:sz w:val="24"/>
        </w:rPr>
        <w:t>„d) z návrhu na nariadenie neodkladného opatrenia podľa osobitného predpisu</w:t>
      </w:r>
      <w:r w:rsidRPr="00C931C8">
        <w:rPr>
          <w:sz w:val="24"/>
          <w:vertAlign w:val="superscript"/>
        </w:rPr>
        <w:t>9a)</w:t>
      </w:r>
      <w:r>
        <w:rPr>
          <w:sz w:val="24"/>
        </w:rPr>
        <w:t xml:space="preserve">, ktoré sa má vykonať </w:t>
      </w:r>
    </w:p>
    <w:p w:rsidR="00F33EBE" w:rsidRDefault="00F33EBE" w:rsidP="00F33EBE">
      <w:pPr>
        <w:spacing w:after="200"/>
        <w:ind w:firstLine="330"/>
        <w:rPr>
          <w:sz w:val="24"/>
        </w:rPr>
      </w:pPr>
      <w:r>
        <w:rPr>
          <w:sz w:val="24"/>
        </w:rPr>
        <w:t xml:space="preserve">1. čo i len sčasti v Slovenskej republike                                                               49,50  eura </w:t>
      </w:r>
    </w:p>
    <w:p w:rsidR="00F33EBE" w:rsidRDefault="00F33EBE" w:rsidP="00F33EBE">
      <w:pPr>
        <w:spacing w:after="200"/>
        <w:ind w:firstLine="330"/>
        <w:rPr>
          <w:sz w:val="24"/>
        </w:rPr>
      </w:pPr>
      <w:r>
        <w:rPr>
          <w:sz w:val="24"/>
        </w:rPr>
        <w:t xml:space="preserve">2. v inom členskom štáte Európskej únie                                                                    33 eur   </w:t>
      </w:r>
    </w:p>
    <w:p w:rsidR="00F33EBE" w:rsidRDefault="00F33EBE" w:rsidP="00F33EBE">
      <w:pPr>
        <w:spacing w:after="200"/>
        <w:ind w:left="8222" w:hanging="7892"/>
        <w:rPr>
          <w:sz w:val="24"/>
        </w:rPr>
      </w:pPr>
      <w:r>
        <w:rPr>
          <w:sz w:val="24"/>
        </w:rPr>
        <w:t>e) z návrhu na zrušenie alebo zmenu neodkladného opatrenia podľa osobitného predpisu</w:t>
      </w:r>
      <w:r w:rsidRPr="00344E34">
        <w:rPr>
          <w:sz w:val="24"/>
          <w:vertAlign w:val="superscript"/>
        </w:rPr>
        <w:t>9a)</w:t>
      </w:r>
      <w:r>
        <w:rPr>
          <w:sz w:val="24"/>
        </w:rPr>
        <w:t xml:space="preserve">                                 33 eur</w:t>
      </w:r>
    </w:p>
    <w:p w:rsidR="00F33EBE" w:rsidRDefault="00F33EBE" w:rsidP="00F33EBE">
      <w:pPr>
        <w:spacing w:after="200"/>
        <w:ind w:left="284"/>
        <w:rPr>
          <w:sz w:val="24"/>
        </w:rPr>
      </w:pPr>
      <w:r w:rsidRPr="006D7AF6">
        <w:rPr>
          <w:sz w:val="24"/>
        </w:rPr>
        <w:t>f) zo žiadosti o získanie informácie, ktorá je súčasťou návrhu na nariadenie neodkladného opatrenia podľa osobitného predpisu</w:t>
      </w:r>
      <w:r w:rsidRPr="006D7AF6">
        <w:rPr>
          <w:sz w:val="24"/>
          <w:vertAlign w:val="superscript"/>
        </w:rPr>
        <w:t>9a)</w:t>
      </w:r>
      <w:r w:rsidRPr="006D7AF6">
        <w:rPr>
          <w:sz w:val="24"/>
        </w:rPr>
        <w:t xml:space="preserve">                    </w:t>
      </w:r>
    </w:p>
    <w:p w:rsidR="00F33EBE" w:rsidRPr="006D7AF6" w:rsidRDefault="00F33EBE" w:rsidP="00F33EBE">
      <w:pPr>
        <w:jc w:val="right"/>
        <w:rPr>
          <w:sz w:val="24"/>
          <w:szCs w:val="24"/>
        </w:rPr>
      </w:pPr>
      <w:r w:rsidRPr="006D7AF6">
        <w:t xml:space="preserve"> </w:t>
      </w:r>
      <w:r w:rsidRPr="006D7AF6">
        <w:rPr>
          <w:sz w:val="24"/>
          <w:szCs w:val="24"/>
        </w:rPr>
        <w:t xml:space="preserve">3   eurá za   každý </w:t>
      </w:r>
    </w:p>
    <w:p w:rsidR="00F33EBE" w:rsidRPr="006D7AF6" w:rsidRDefault="00F33EBE" w:rsidP="00F33EBE">
      <w:pPr>
        <w:jc w:val="right"/>
        <w:rPr>
          <w:sz w:val="24"/>
          <w:szCs w:val="24"/>
        </w:rPr>
      </w:pPr>
      <w:r w:rsidRPr="006D7AF6">
        <w:rPr>
          <w:sz w:val="24"/>
          <w:szCs w:val="24"/>
        </w:rPr>
        <w:t xml:space="preserve">členský štát Európskej únie,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BE" w:rsidRPr="006D7AF6" w:rsidRDefault="00F33EBE" w:rsidP="00F33EBE">
      <w:pPr>
        <w:jc w:val="right"/>
      </w:pPr>
      <w:r w:rsidRPr="006D7AF6">
        <w:rPr>
          <w:sz w:val="24"/>
          <w:szCs w:val="24"/>
        </w:rPr>
        <w:t xml:space="preserve">v ktorom sa má informácia získať                                              </w:t>
      </w:r>
    </w:p>
    <w:p w:rsidR="00F33EBE" w:rsidRDefault="00F33EBE" w:rsidP="00F33EBE">
      <w:pPr>
        <w:spacing w:after="200"/>
        <w:ind w:left="284" w:firstLine="46"/>
        <w:rPr>
          <w:sz w:val="24"/>
        </w:rPr>
      </w:pPr>
    </w:p>
    <w:p w:rsidR="00F33EBE" w:rsidRDefault="00F33EBE" w:rsidP="00F33EBE">
      <w:pPr>
        <w:spacing w:after="200"/>
        <w:ind w:left="284"/>
        <w:rPr>
          <w:sz w:val="24"/>
        </w:rPr>
      </w:pPr>
      <w:r>
        <w:rPr>
          <w:sz w:val="24"/>
        </w:rPr>
        <w:t>g) z návrhu na vykonanie neodkladného opatrenia podľa osobitného predpisu</w:t>
      </w:r>
      <w:r w:rsidRPr="00C931C8">
        <w:rPr>
          <w:sz w:val="24"/>
          <w:vertAlign w:val="superscript"/>
        </w:rPr>
        <w:t>9a)</w:t>
      </w:r>
      <w:r w:rsidRPr="006D7AF6">
        <w:rPr>
          <w:sz w:val="24"/>
        </w:rPr>
        <w:t xml:space="preserve"> </w:t>
      </w:r>
      <w:r>
        <w:rPr>
          <w:sz w:val="24"/>
        </w:rPr>
        <w:t xml:space="preserve">nariadeného v inom členskom štáte Európskej únie                                            16,50 eura.“.    </w:t>
      </w:r>
    </w:p>
    <w:p w:rsidR="00F33EBE" w:rsidRPr="00C931C8" w:rsidRDefault="00F33EBE" w:rsidP="00F33EBE">
      <w:pPr>
        <w:spacing w:after="200"/>
        <w:ind w:firstLine="284"/>
        <w:rPr>
          <w:sz w:val="24"/>
        </w:rPr>
      </w:pPr>
      <w:r>
        <w:rPr>
          <w:sz w:val="24"/>
        </w:rPr>
        <w:t xml:space="preserve">Poznámka pod čiarou k odkazu 9a znie: „ 9a) </w:t>
      </w:r>
      <w:r w:rsidRPr="00C931C8">
        <w:rPr>
          <w:sz w:val="24"/>
        </w:rPr>
        <w:t>Zákon č. .....</w:t>
      </w:r>
      <w:r>
        <w:rPr>
          <w:sz w:val="24"/>
        </w:rPr>
        <w:t xml:space="preserve"> </w:t>
      </w:r>
      <w:r w:rsidRPr="00C931C8">
        <w:rPr>
          <w:sz w:val="24"/>
        </w:rPr>
        <w:t>Z. z. o európskom príkaze na zablokovanie účtov a o doplnení zákona Slovenskej národnej rady č. 71/1992 Zb. o súdnych poplatkoch a poplatku za výpis z registra trestov v znení neskorších predpisov.</w:t>
      </w:r>
      <w:r>
        <w:rPr>
          <w:sz w:val="24"/>
        </w:rPr>
        <w:t>“.</w:t>
      </w:r>
    </w:p>
    <w:p w:rsidR="00E649ED" w:rsidRDefault="00E649ED">
      <w:pPr>
        <w:spacing w:after="200"/>
        <w:jc w:val="center"/>
      </w:pPr>
      <w:bookmarkStart w:id="0" w:name="_GoBack"/>
      <w:bookmarkEnd w:id="0"/>
    </w:p>
    <w:p w:rsidR="00E649ED" w:rsidRDefault="00E649ED"/>
    <w:p w:rsidR="00E649ED" w:rsidRDefault="00046B68">
      <w:pPr>
        <w:spacing w:after="200"/>
        <w:jc w:val="center"/>
      </w:pPr>
      <w:r>
        <w:rPr>
          <w:b/>
          <w:sz w:val="24"/>
        </w:rPr>
        <w:t>Čl. III</w:t>
      </w:r>
    </w:p>
    <w:p w:rsidR="00E649ED" w:rsidRDefault="00E649ED"/>
    <w:p w:rsidR="00E649ED" w:rsidRDefault="00046B68">
      <w:pPr>
        <w:spacing w:after="200"/>
        <w:jc w:val="both"/>
      </w:pPr>
      <w:r>
        <w:rPr>
          <w:sz w:val="24"/>
        </w:rPr>
        <w:t>Tento zákon nadobúda účinnosť 18. januára 2017.</w:t>
      </w:r>
    </w:p>
    <w:p w:rsidR="00E649ED" w:rsidRDefault="00E649ED"/>
    <w:sectPr w:rsidR="00E649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68" w:rsidRDefault="00046B68">
      <w:r>
        <w:separator/>
      </w:r>
    </w:p>
  </w:endnote>
  <w:endnote w:type="continuationSeparator" w:id="0">
    <w:p w:rsidR="00046B68" w:rsidRDefault="0004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161187"/>
      <w:docPartObj>
        <w:docPartGallery w:val="Page Numbers (Bottom of Page)"/>
        <w:docPartUnique/>
      </w:docPartObj>
    </w:sdtPr>
    <w:sdtContent>
      <w:p w:rsidR="00F33EBE" w:rsidRDefault="00F33EB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F3B">
          <w:rPr>
            <w:noProof/>
          </w:rPr>
          <w:t>7</w:t>
        </w:r>
        <w:r>
          <w:fldChar w:fldCharType="end"/>
        </w:r>
      </w:p>
    </w:sdtContent>
  </w:sdt>
  <w:p w:rsidR="00F33EBE" w:rsidRDefault="00F33EB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68" w:rsidRDefault="00046B68">
      <w:r>
        <w:separator/>
      </w:r>
    </w:p>
  </w:footnote>
  <w:footnote w:type="continuationSeparator" w:id="0">
    <w:p w:rsidR="00046B68" w:rsidRDefault="00046B68">
      <w:r>
        <w:continuationSeparator/>
      </w:r>
    </w:p>
  </w:footnote>
  <w:footnote w:id="1">
    <w:p w:rsidR="00E649ED" w:rsidRDefault="00046B68">
      <w:r>
        <w:rPr>
          <w:vertAlign w:val="superscript"/>
        </w:rPr>
        <w:t>1</w:t>
      </w:r>
      <w:r>
        <w:t>) Nariadenie Európskeho parlamentu a Rady (EÚ) č. 655/2014 z 15. mája 2014 o zavedení konania týkajúceho sa európskeho príkazu na zablokovanie účtov s cieľom uľahčiť cezhraničné vymáhanie pohľadávok v občianskych a obchodných veciach (Ú. v. EÚ L 189, 27.6.</w:t>
      </w:r>
      <w:r>
        <w:t>2014).</w:t>
      </w:r>
    </w:p>
  </w:footnote>
  <w:footnote w:id="2">
    <w:p w:rsidR="00E649ED" w:rsidRDefault="00046B68">
      <w:r>
        <w:rPr>
          <w:vertAlign w:val="superscript"/>
        </w:rPr>
        <w:t>2</w:t>
      </w:r>
      <w:r>
        <w:t>) Čl. 14 nariadenia (EÚ) č. 655/2014.</w:t>
      </w:r>
    </w:p>
  </w:footnote>
  <w:footnote w:id="3">
    <w:p w:rsidR="00E649ED" w:rsidRDefault="00046B68">
      <w:r>
        <w:rPr>
          <w:vertAlign w:val="superscript"/>
        </w:rPr>
        <w:t>3</w:t>
      </w:r>
      <w:r>
        <w:t>) Čl. 12 nariadenia (EÚ) č. 655/2014.</w:t>
      </w:r>
    </w:p>
  </w:footnote>
  <w:footnote w:id="4">
    <w:p w:rsidR="00E649ED" w:rsidRDefault="00046B68">
      <w:r>
        <w:rPr>
          <w:vertAlign w:val="superscript"/>
        </w:rPr>
        <w:t>4</w:t>
      </w:r>
      <w:r>
        <w:t>) Čl. 33 ods. 2 nariadenia (EÚ) č. 655/2014.</w:t>
      </w:r>
    </w:p>
  </w:footnote>
  <w:footnote w:id="5">
    <w:p w:rsidR="00E649ED" w:rsidRDefault="00046B68">
      <w:r>
        <w:rPr>
          <w:vertAlign w:val="superscript"/>
        </w:rPr>
        <w:t>5</w:t>
      </w:r>
      <w:r>
        <w:t>) Čl. 14 ods. 5 nariadenia (EÚ) č. 655/2014.</w:t>
      </w:r>
    </w:p>
  </w:footnote>
  <w:footnote w:id="6">
    <w:p w:rsidR="00E649ED" w:rsidRDefault="00046B68">
      <w:r>
        <w:rPr>
          <w:vertAlign w:val="superscript"/>
        </w:rPr>
        <w:t>6</w:t>
      </w:r>
      <w:r>
        <w:t>) § 90 ods. 3 zákona č. 483/2001 Z. z. o bankách a o zmene a doplnení niektorých zákonov v znení zákona č. 437/2015 Z. z..</w:t>
      </w:r>
    </w:p>
  </w:footnote>
  <w:footnote w:id="7">
    <w:p w:rsidR="00E649ED" w:rsidRDefault="00046B68">
      <w:r>
        <w:rPr>
          <w:vertAlign w:val="superscript"/>
        </w:rPr>
        <w:t>7</w:t>
      </w:r>
      <w:r>
        <w:t>) § 91 ods. 4 písm. a) zákona č. 483/2001 Z. z. v znení zákona č. 125/2016 Z. z..</w:t>
      </w:r>
    </w:p>
  </w:footnote>
  <w:footnote w:id="8">
    <w:p w:rsidR="00E649ED" w:rsidRDefault="00046B68">
      <w:r>
        <w:rPr>
          <w:vertAlign w:val="superscript"/>
        </w:rPr>
        <w:t>8</w:t>
      </w:r>
      <w:r>
        <w:t>) Čl. 4 ods. 1 nariadenia (EÚ) č. 655/2014.</w:t>
      </w:r>
    </w:p>
  </w:footnote>
  <w:footnote w:id="9">
    <w:p w:rsidR="00E649ED" w:rsidRDefault="00046B68">
      <w:r>
        <w:rPr>
          <w:vertAlign w:val="superscript"/>
        </w:rPr>
        <w:t>9</w:t>
      </w:r>
      <w:r>
        <w:t>) Čl</w:t>
      </w:r>
      <w:r>
        <w:t>. 19 nariadenia (EÚ) č. 655/2014.</w:t>
      </w:r>
    </w:p>
  </w:footnote>
  <w:footnote w:id="10">
    <w:p w:rsidR="00E649ED" w:rsidRDefault="00046B68">
      <w:r>
        <w:rPr>
          <w:vertAlign w:val="superscript"/>
        </w:rPr>
        <w:t>10</w:t>
      </w:r>
      <w:r>
        <w:t>) Čl. 23 ods. 3 nariadenia (EÚ) č. 655/2014.</w:t>
      </w:r>
    </w:p>
  </w:footnote>
  <w:footnote w:id="11">
    <w:p w:rsidR="00E649ED" w:rsidRDefault="00046B68">
      <w:r>
        <w:rPr>
          <w:vertAlign w:val="superscript"/>
        </w:rPr>
        <w:t>11</w:t>
      </w:r>
      <w:r>
        <w:t>) Čl. 28 ods. 5 nariadenia (EÚ) č. 655/2014.</w:t>
      </w:r>
    </w:p>
  </w:footnote>
  <w:footnote w:id="12">
    <w:p w:rsidR="00E649ED" w:rsidRDefault="00046B68">
      <w:r>
        <w:rPr>
          <w:vertAlign w:val="superscript"/>
        </w:rPr>
        <w:t>12</w:t>
      </w:r>
      <w:r>
        <w:t>) § 104 zákona č. 233/1995 Z. z. v znení zákona č. 144/2010 Z. z..</w:t>
      </w:r>
    </w:p>
  </w:footnote>
  <w:footnote w:id="13">
    <w:p w:rsidR="00E649ED" w:rsidRDefault="00046B68">
      <w:r>
        <w:rPr>
          <w:vertAlign w:val="superscript"/>
        </w:rPr>
        <w:t>13</w:t>
      </w:r>
      <w:r>
        <w:t>) Čl. 25 nariadenia (EÚ) č. 655/2014.</w:t>
      </w:r>
    </w:p>
  </w:footnote>
  <w:footnote w:id="14">
    <w:p w:rsidR="00E649ED" w:rsidRDefault="00046B68">
      <w:r>
        <w:rPr>
          <w:vertAlign w:val="superscript"/>
        </w:rPr>
        <w:t>14</w:t>
      </w:r>
      <w:r>
        <w:t>) Čl. 27 nariaden</w:t>
      </w:r>
      <w:r>
        <w:t>ia (EÚ) č. 655/2014.</w:t>
      </w:r>
    </w:p>
  </w:footnote>
  <w:footnote w:id="15">
    <w:p w:rsidR="00E649ED" w:rsidRDefault="00046B68">
      <w:r>
        <w:rPr>
          <w:vertAlign w:val="superscript"/>
        </w:rPr>
        <w:t>15</w:t>
      </w:r>
      <w:r>
        <w:t>) Čl. 28 ods. 1 nariadenia (EÚ) č. 655/2014.</w:t>
      </w:r>
    </w:p>
  </w:footnote>
  <w:footnote w:id="16">
    <w:p w:rsidR="00E649ED" w:rsidRDefault="00046B68">
      <w:r>
        <w:rPr>
          <w:vertAlign w:val="superscript"/>
        </w:rPr>
        <w:t>16</w:t>
      </w:r>
      <w:r>
        <w:t>) Čl. 28 ods. 2 nariadenia (EÚ) č. 655/2014.</w:t>
      </w:r>
    </w:p>
  </w:footnote>
  <w:footnote w:id="17">
    <w:p w:rsidR="00E649ED" w:rsidRDefault="00046B68">
      <w:r>
        <w:rPr>
          <w:vertAlign w:val="superscript"/>
        </w:rPr>
        <w:t>17</w:t>
      </w:r>
      <w:r>
        <w:t>) Čl. 28 ods. 3 nariadenia (EÚ) č. 655/2014.</w:t>
      </w:r>
    </w:p>
  </w:footnote>
  <w:footnote w:id="18">
    <w:p w:rsidR="00E649ED" w:rsidRDefault="00046B68">
      <w:r>
        <w:rPr>
          <w:vertAlign w:val="superscript"/>
        </w:rPr>
        <w:t>18</w:t>
      </w:r>
      <w:r>
        <w:t>) Čl. 33 ods. 1 nariadenia (EÚ) č. 655/2014.</w:t>
      </w:r>
    </w:p>
  </w:footnote>
  <w:footnote w:id="19">
    <w:p w:rsidR="00E649ED" w:rsidRDefault="00046B68">
      <w:r>
        <w:rPr>
          <w:vertAlign w:val="superscript"/>
        </w:rPr>
        <w:t>19</w:t>
      </w:r>
      <w:r>
        <w:t>) Čl. 34 nariadenia (EÚ) č. 655/2014.</w:t>
      </w:r>
    </w:p>
  </w:footnote>
  <w:footnote w:id="20">
    <w:p w:rsidR="00E649ED" w:rsidRDefault="00046B68">
      <w:r>
        <w:rPr>
          <w:vertAlign w:val="superscript"/>
        </w:rPr>
        <w:t>20</w:t>
      </w:r>
      <w:r>
        <w:t>)  Čl</w:t>
      </w:r>
      <w:r>
        <w:t>. 35 ods. 4 nariadenia (EÚ) č. 655/2014.</w:t>
      </w:r>
    </w:p>
  </w:footnote>
  <w:footnote w:id="21">
    <w:p w:rsidR="00E649ED" w:rsidRDefault="00046B68">
      <w:r>
        <w:rPr>
          <w:vertAlign w:val="superscript"/>
        </w:rPr>
        <w:t>21</w:t>
      </w:r>
      <w:r>
        <w:t>) Čl. 38 nariadenia (EÚ) č. 655/2014.</w:t>
      </w:r>
    </w:p>
  </w:footnote>
  <w:footnote w:id="22">
    <w:p w:rsidR="00E649ED" w:rsidRDefault="00046B68">
      <w:r>
        <w:rPr>
          <w:vertAlign w:val="superscript"/>
        </w:rPr>
        <w:t>22</w:t>
      </w:r>
      <w:r>
        <w:t>) Čl. 13 ods. 1 a 2 nariadenia (EÚ) č. 655/2014.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ED"/>
    <w:rsid w:val="00046B68"/>
    <w:rsid w:val="002F189E"/>
    <w:rsid w:val="00BA6F3B"/>
    <w:rsid w:val="00E649ED"/>
    <w:rsid w:val="00F3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3E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EB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33E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3EBE"/>
  </w:style>
  <w:style w:type="paragraph" w:styleId="Pta">
    <w:name w:val="footer"/>
    <w:basedOn w:val="Normlny"/>
    <w:link w:val="PtaChar"/>
    <w:uiPriority w:val="99"/>
    <w:unhideWhenUsed/>
    <w:rsid w:val="00F33E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3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3E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EB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33E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3EBE"/>
  </w:style>
  <w:style w:type="paragraph" w:styleId="Pta">
    <w:name w:val="footer"/>
    <w:basedOn w:val="Normlny"/>
    <w:link w:val="PtaChar"/>
    <w:uiPriority w:val="99"/>
    <w:unhideWhenUsed/>
    <w:rsid w:val="00F33E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RUSNAKOVA Gabriela</cp:lastModifiedBy>
  <cp:revision>2</cp:revision>
  <dcterms:created xsi:type="dcterms:W3CDTF">2016-10-12T12:01:00Z</dcterms:created>
  <dcterms:modified xsi:type="dcterms:W3CDTF">2016-10-12T12:01:00Z</dcterms:modified>
</cp:coreProperties>
</file>