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3DC" w:rsidRDefault="007223DC" w:rsidP="007223DC">
      <w:pPr>
        <w:rPr>
          <w:rFonts w:ascii="Times New Roman" w:hAnsi="Times New Roman" w:cs="Times New Roman"/>
          <w:b/>
          <w:u w:val="single"/>
        </w:rPr>
      </w:pPr>
      <w:r>
        <w:rPr>
          <w:rFonts w:ascii="Times New Roman" w:hAnsi="Times New Roman" w:cs="Times New Roman"/>
          <w:b/>
          <w:u w:val="single"/>
        </w:rPr>
        <w:t>Dôvodová správa</w:t>
      </w:r>
    </w:p>
    <w:p w:rsidR="007223DC" w:rsidRPr="00DC7976" w:rsidRDefault="007223DC" w:rsidP="007223DC">
      <w:pPr>
        <w:pStyle w:val="Odsekzoznamu"/>
        <w:numPr>
          <w:ilvl w:val="0"/>
          <w:numId w:val="1"/>
        </w:numPr>
        <w:rPr>
          <w:rFonts w:ascii="Times New Roman" w:hAnsi="Times New Roman" w:cs="Times New Roman"/>
          <w:b/>
        </w:rPr>
      </w:pPr>
      <w:r w:rsidRPr="00DC7976">
        <w:rPr>
          <w:rFonts w:ascii="Times New Roman" w:hAnsi="Times New Roman" w:cs="Times New Roman"/>
          <w:b/>
        </w:rPr>
        <w:t>Všeobecná časť</w:t>
      </w:r>
    </w:p>
    <w:p w:rsidR="007223DC" w:rsidRPr="00A64D2D" w:rsidRDefault="007223DC" w:rsidP="007223DC">
      <w:pPr>
        <w:spacing w:after="280" w:afterAutospacing="1"/>
        <w:ind w:firstLine="708"/>
        <w:jc w:val="both"/>
        <w:rPr>
          <w:color w:val="000000"/>
        </w:rPr>
      </w:pPr>
      <w:r>
        <w:rPr>
          <w:rStyle w:val="Textzstupnhosymbolu"/>
          <w:color w:val="000000"/>
        </w:rPr>
        <w:t xml:space="preserve">Ministerstvo spravodlivosti Slovenskej republiky predkladá </w:t>
      </w:r>
      <w:r w:rsidR="00996A8B">
        <w:rPr>
          <w:rStyle w:val="Textzstupnhosymbolu"/>
          <w:color w:val="000000"/>
        </w:rPr>
        <w:t>na rokovanie Legislatívnej rady vlády Slovenskej republiky</w:t>
      </w:r>
      <w:bookmarkStart w:id="0" w:name="_GoBack"/>
      <w:bookmarkEnd w:id="0"/>
      <w:r>
        <w:rPr>
          <w:rStyle w:val="Textzstupnhosymbolu"/>
          <w:color w:val="000000"/>
        </w:rPr>
        <w:t xml:space="preserve"> návrh zákona o európskom príkaze na zablokovanie účtov a o doplnení zákona Slovenskej národnej rady č. 71/1992 Zb. o súdnych poplatkoch a poplatku za výpis z registra trestov v znení neskorších predpisov (ďalej len „návrh zákona“). </w:t>
      </w:r>
    </w:p>
    <w:p w:rsidR="007223DC" w:rsidRDefault="007223DC" w:rsidP="007223DC">
      <w:pPr>
        <w:spacing w:after="280" w:afterAutospacing="1"/>
        <w:ind w:firstLine="708"/>
        <w:jc w:val="both"/>
        <w:rPr>
          <w:rStyle w:val="Textzstupnhosymbolu"/>
          <w:rFonts w:cs="Times New Roman"/>
          <w:color w:val="000000"/>
        </w:rPr>
      </w:pPr>
      <w:r w:rsidRPr="003E4827">
        <w:rPr>
          <w:rStyle w:val="Textzstupnhosymbolu"/>
          <w:rFonts w:cs="Times New Roman"/>
          <w:color w:val="000000"/>
        </w:rPr>
        <w:t xml:space="preserve">Návrh zákona sa predkladá na základe úlohy B.1 uloženej uznesením vlády č. 669 zo 17. decembra 2014 k návrhu na určenie zodpovednosti ministerstiev, ostatných ústredných orgánov štátnej správy a niektorých orgánov verejnej moci za aplikáciu a prijatie opatrení na vnútroštátnej úrovni k nariadeniam Európskej únie a rozhodnutiam Európskej únie. Zámerom predloženia návrhu zákona je </w:t>
      </w:r>
      <w:r>
        <w:rPr>
          <w:rStyle w:val="Textzstupnhosymbolu"/>
          <w:rFonts w:cs="Times New Roman"/>
          <w:color w:val="000000"/>
        </w:rPr>
        <w:t>zabezpečenie riadnej aplikácie n</w:t>
      </w:r>
      <w:r w:rsidRPr="003E4827">
        <w:rPr>
          <w:rStyle w:val="Textzstupnhosymbolu"/>
          <w:rFonts w:cs="Times New Roman"/>
          <w:color w:val="000000"/>
        </w:rPr>
        <w:t>ariadenia Európskeho parlamentu a Rady (EÚ) č. 655/2014 z  15. mája 2014 o zavedení konania týkajúceho sa európskeho príkazu na zablokovanie účtov s cieľom uľahčiť cezhraničné vymáhanie pohľadávok v občianskych a obchodných veciach (Ú. v. EÚ L 189, 27.6.2014, s. 59 – 92)</w:t>
      </w:r>
      <w:r>
        <w:rPr>
          <w:rStyle w:val="Textzstupnhosymbolu"/>
          <w:rFonts w:cs="Times New Roman"/>
          <w:color w:val="000000"/>
        </w:rPr>
        <w:t xml:space="preserve"> (ďalej len „nariadenie“)</w:t>
      </w:r>
      <w:r w:rsidRPr="003E4827">
        <w:rPr>
          <w:rStyle w:val="Textzstupnhosymbolu"/>
          <w:rFonts w:cs="Times New Roman"/>
          <w:color w:val="000000"/>
        </w:rPr>
        <w:t>.</w:t>
      </w:r>
    </w:p>
    <w:p w:rsidR="007223DC" w:rsidRDefault="007223DC" w:rsidP="007223DC">
      <w:pPr>
        <w:ind w:firstLine="708"/>
        <w:jc w:val="both"/>
        <w:rPr>
          <w:rFonts w:ascii="Times New Roman" w:hAnsi="Times New Roman" w:cs="Times New Roman"/>
        </w:rPr>
      </w:pPr>
      <w:r w:rsidRPr="00925F80">
        <w:rPr>
          <w:rFonts w:ascii="Times New Roman" w:hAnsi="Times New Roman" w:cs="Times New Roman"/>
        </w:rPr>
        <w:t xml:space="preserve">Do právneho poriadku sa zavádza úprava nevyhnutná pre riadnu aplikáciu nariadenia. </w:t>
      </w:r>
      <w:r>
        <w:rPr>
          <w:rFonts w:ascii="Times New Roman" w:hAnsi="Times New Roman" w:cs="Times New Roman"/>
        </w:rPr>
        <w:t>Keďže n</w:t>
      </w:r>
      <w:r w:rsidRPr="0012602A">
        <w:rPr>
          <w:rFonts w:ascii="Times New Roman" w:hAnsi="Times New Roman" w:cs="Times New Roman"/>
        </w:rPr>
        <w:t>ariadenie</w:t>
      </w:r>
      <w:r>
        <w:rPr>
          <w:rFonts w:ascii="Times New Roman" w:hAnsi="Times New Roman" w:cs="Times New Roman"/>
        </w:rPr>
        <w:t xml:space="preserve"> Európskej únie</w:t>
      </w:r>
      <w:r w:rsidRPr="0012602A">
        <w:rPr>
          <w:rFonts w:ascii="Times New Roman" w:hAnsi="Times New Roman" w:cs="Times New Roman"/>
        </w:rPr>
        <w:t xml:space="preserve"> je, podľa článku 288 Zmluvy o fungovaní Európskej únie, všeobecne záväzný právny akt, ktorý je záväzný vo svojej celistvosti a je priamo aplikovateľný vo v</w:t>
      </w:r>
      <w:r>
        <w:rPr>
          <w:rFonts w:ascii="Times New Roman" w:hAnsi="Times New Roman" w:cs="Times New Roman"/>
        </w:rPr>
        <w:t>šetkých členských štátoch,</w:t>
      </w:r>
      <w:r w:rsidRPr="0012602A">
        <w:rPr>
          <w:rFonts w:ascii="Times New Roman" w:hAnsi="Times New Roman" w:cs="Times New Roman"/>
        </w:rPr>
        <w:t xml:space="preserve"> nevyžaduje transpozíciu do vnútroštátnej právnej normy, dok</w:t>
      </w:r>
      <w:r>
        <w:rPr>
          <w:rFonts w:ascii="Times New Roman" w:hAnsi="Times New Roman" w:cs="Times New Roman"/>
        </w:rPr>
        <w:t xml:space="preserve">onca ju takmer vôbec nepripúšťa. </w:t>
      </w:r>
      <w:r w:rsidRPr="0012602A">
        <w:rPr>
          <w:rFonts w:ascii="Times New Roman" w:hAnsi="Times New Roman" w:cs="Times New Roman"/>
        </w:rPr>
        <w:t>Princíp neprípustnosti prenesenia obsahu nariadenia do vnútroštátnej normy je potrebné odlišovať od prípadov, kedy samotné nariadenie vyžaduje od členských štátov prijatie implementačných alebo doplňujúcich opatrení na vnútroštátnej úrovni. V takýchto prípadoch nejde o prenášanie obsahu nariadenia, ale o implementáciu, to znamená konkretizáciu opatrení alebo prijatie požadovaných donucovacích či sankčných opatrení na zabezpečenie riadneho vykonávania obsahu nariadenia.</w:t>
      </w:r>
      <w:r>
        <w:rPr>
          <w:rFonts w:ascii="Times New Roman" w:hAnsi="Times New Roman" w:cs="Times New Roman"/>
        </w:rPr>
        <w:t xml:space="preserve"> </w:t>
      </w:r>
    </w:p>
    <w:p w:rsidR="007223DC" w:rsidRPr="003E4827" w:rsidRDefault="007223DC" w:rsidP="007223DC">
      <w:pPr>
        <w:ind w:firstLine="708"/>
        <w:jc w:val="both"/>
        <w:rPr>
          <w:rFonts w:ascii="Times New Roman" w:hAnsi="Times New Roman" w:cs="Times New Roman"/>
        </w:rPr>
      </w:pPr>
      <w:r w:rsidRPr="003E4827">
        <w:rPr>
          <w:rFonts w:ascii="Times New Roman" w:hAnsi="Times New Roman" w:cs="Times New Roman"/>
        </w:rPr>
        <w:t xml:space="preserve">V členských štátoch </w:t>
      </w:r>
      <w:r w:rsidRPr="0012602A">
        <w:rPr>
          <w:rFonts w:ascii="Times New Roman" w:hAnsi="Times New Roman" w:cs="Times New Roman"/>
        </w:rPr>
        <w:t>Európskej únie</w:t>
      </w:r>
      <w:r w:rsidRPr="003E4827">
        <w:rPr>
          <w:rFonts w:ascii="Times New Roman" w:hAnsi="Times New Roman" w:cs="Times New Roman"/>
        </w:rPr>
        <w:t xml:space="preserve"> v súčasnosti existujú vnútroštátne konania o vydanie ochranných</w:t>
      </w:r>
      <w:r>
        <w:rPr>
          <w:rFonts w:ascii="Times New Roman" w:hAnsi="Times New Roman" w:cs="Times New Roman"/>
        </w:rPr>
        <w:t xml:space="preserve">, predbežných alebo zabezpečovacích </w:t>
      </w:r>
      <w:r w:rsidRPr="003E4827">
        <w:rPr>
          <w:rFonts w:ascii="Times New Roman" w:hAnsi="Times New Roman" w:cs="Times New Roman"/>
        </w:rPr>
        <w:t xml:space="preserve">opatrení (napr. aj príkazy na zablokovanie účtov), ale podmienky na vydanie takýchto opatrení a efektívnosť ich vykonávania sa značne líšia. Využitie vnútroštátnych ochranných opatrení zároveň nie je úplne vhodné v prípadoch s cezhraničným prvkom, najmä ak sa veriteľ snaží ochrániť svoj záujem vo viacerých členských štátoch (napr. zablokovať viacero účtov nachádzajúcich sa v rôznych členských štátoch). Nariadením sa preto zavádza nové konanie umožňujúce v cezhraničných prípadoch účinne a urýchlene zablokovať finančné prostriedky vedené na bankových účtoch v rôznych členských štátoch. </w:t>
      </w:r>
    </w:p>
    <w:p w:rsidR="007223DC" w:rsidRPr="003E4827" w:rsidRDefault="007223DC" w:rsidP="007223DC">
      <w:pPr>
        <w:ind w:firstLine="708"/>
        <w:jc w:val="both"/>
        <w:rPr>
          <w:rFonts w:ascii="Times New Roman" w:hAnsi="Times New Roman" w:cs="Times New Roman"/>
        </w:rPr>
      </w:pPr>
      <w:r>
        <w:rPr>
          <w:rFonts w:ascii="Times New Roman" w:hAnsi="Times New Roman" w:cs="Times New Roman"/>
        </w:rPr>
        <w:t>K</w:t>
      </w:r>
      <w:r w:rsidRPr="003E4827">
        <w:rPr>
          <w:rFonts w:ascii="Times New Roman" w:hAnsi="Times New Roman" w:cs="Times New Roman"/>
        </w:rPr>
        <w:t xml:space="preserve">onanie </w:t>
      </w:r>
      <w:r>
        <w:rPr>
          <w:rFonts w:ascii="Times New Roman" w:hAnsi="Times New Roman" w:cs="Times New Roman"/>
        </w:rPr>
        <w:t xml:space="preserve">upravené </w:t>
      </w:r>
      <w:r>
        <w:rPr>
          <w:rStyle w:val="Textzstupnhosymbolu"/>
          <w:rFonts w:cs="Times New Roman"/>
          <w:color w:val="000000"/>
        </w:rPr>
        <w:t>nariadením</w:t>
      </w:r>
      <w:r w:rsidRPr="003E4827">
        <w:rPr>
          <w:rStyle w:val="Textzstupnhosymbolu"/>
          <w:rFonts w:cs="Times New Roman"/>
          <w:color w:val="000000"/>
        </w:rPr>
        <w:t xml:space="preserve"> Európskeho parlamentu a Rady (EÚ) č. 655/2014 z  15. mája 2014 o zavedení konania týkajúceho sa európskeho príkazu na zablokovanie účtov s cieľom uľahčiť cezhraničné vymáhanie pohľadávok v občianskych a obchodných veciach (Ú. v. EÚ L 189, 27.6.2014, s. 59 – 92)</w:t>
      </w:r>
      <w:r>
        <w:rPr>
          <w:rStyle w:val="Textzstupnhosymbolu"/>
          <w:rFonts w:cs="Times New Roman"/>
          <w:color w:val="000000"/>
        </w:rPr>
        <w:t xml:space="preserve"> (ďalej len „nariadenie“) </w:t>
      </w:r>
      <w:r w:rsidRPr="003E4827">
        <w:rPr>
          <w:rFonts w:ascii="Times New Roman" w:hAnsi="Times New Roman" w:cs="Times New Roman"/>
        </w:rPr>
        <w:t>poskytuje veriteľovi možnosť dosiahnuť vydanie ochranného opatrenia vo forme európskeho príkazu na zablokovanie účtov, ktorým sa zabráni prevodu alebo vybratiu finančných prostriedkov, ktoré má jeho dlžník v držbe na bankovom účte vedenom v členskom štáte, ak hrozí, že bez takéhoto opatrenia bude následné vymáhanie jeho pohľadávky</w:t>
      </w:r>
      <w:r>
        <w:rPr>
          <w:rFonts w:ascii="Times New Roman" w:hAnsi="Times New Roman" w:cs="Times New Roman"/>
        </w:rPr>
        <w:t>, resp. nároku</w:t>
      </w:r>
      <w:r w:rsidRPr="003E4827">
        <w:rPr>
          <w:rFonts w:ascii="Times New Roman" w:hAnsi="Times New Roman" w:cs="Times New Roman"/>
        </w:rPr>
        <w:t xml:space="preserve"> voči dlžníkovi zmarené alebo podstatne sťažené. Zablokovanie finančných prostriedkov vedených na dlžníkovom účte by malo zabrániť nielen samotnému dlžníkovi, ale aj osobám, ktorým dlžník povolil vykonávať platby prostredníctvom tohto účtu, napríklad formou trvalého príkazu, inkasa alebo používania kreditnej karty, používať tieto finančné prostriedky.</w:t>
      </w:r>
    </w:p>
    <w:p w:rsidR="007223DC" w:rsidRDefault="007223DC" w:rsidP="007223DC">
      <w:pPr>
        <w:ind w:firstLine="708"/>
        <w:jc w:val="both"/>
        <w:rPr>
          <w:rFonts w:ascii="Times New Roman" w:hAnsi="Times New Roman" w:cs="Times New Roman"/>
        </w:rPr>
      </w:pPr>
      <w:r w:rsidRPr="003E4827">
        <w:rPr>
          <w:rFonts w:ascii="Times New Roman" w:hAnsi="Times New Roman" w:cs="Times New Roman"/>
        </w:rPr>
        <w:t>Takéto konanie zavedené nariadením predstavuje dodatočný a voliteľný prostriedok pre veriteľa, ktorý má naďalej možnosť využiť iné konanie o vydanie rovnocenného opatrenia podľa príslušného vnútroštátneho právneho poriadku.</w:t>
      </w:r>
    </w:p>
    <w:p w:rsidR="007223DC" w:rsidRPr="003E4827" w:rsidRDefault="007223DC" w:rsidP="007223DC">
      <w:pPr>
        <w:ind w:firstLine="708"/>
        <w:jc w:val="both"/>
        <w:rPr>
          <w:rFonts w:ascii="Times New Roman" w:hAnsi="Times New Roman" w:cs="Times New Roman"/>
        </w:rPr>
      </w:pPr>
      <w:r w:rsidRPr="003E4827">
        <w:rPr>
          <w:rFonts w:ascii="Times New Roman" w:hAnsi="Times New Roman" w:cs="Times New Roman"/>
        </w:rPr>
        <w:lastRenderedPageBreak/>
        <w:t>Konanie možno využiť pred začatím konania vo veci samej, počas neho alebo aj po jeho skončení.</w:t>
      </w:r>
      <w:r>
        <w:rPr>
          <w:rFonts w:ascii="Times New Roman" w:hAnsi="Times New Roman" w:cs="Times New Roman"/>
        </w:rPr>
        <w:t xml:space="preserve"> Od fázy, resp. existencie konania vo veci samej sa zároveň odvíjajú aj podmienky pre vydanie príkazu na zablokovanie účtu.</w:t>
      </w:r>
    </w:p>
    <w:p w:rsidR="007223DC" w:rsidRPr="003E4827" w:rsidRDefault="007223DC" w:rsidP="007223DC">
      <w:pPr>
        <w:ind w:firstLine="708"/>
        <w:jc w:val="both"/>
        <w:rPr>
          <w:rFonts w:ascii="Times New Roman" w:hAnsi="Times New Roman" w:cs="Times New Roman"/>
        </w:rPr>
      </w:pPr>
      <w:r w:rsidRPr="003E4827">
        <w:rPr>
          <w:rFonts w:ascii="Times New Roman" w:hAnsi="Times New Roman" w:cs="Times New Roman"/>
        </w:rPr>
        <w:t>S cieľom zabezpečiť účinok prekvapenia v prípade príkazu na zablokovanie a s cieľom zabezpečiť</w:t>
      </w:r>
      <w:r>
        <w:rPr>
          <w:rFonts w:ascii="Times New Roman" w:hAnsi="Times New Roman" w:cs="Times New Roman"/>
        </w:rPr>
        <w:t>,</w:t>
      </w:r>
      <w:r w:rsidRPr="003E4827">
        <w:rPr>
          <w:rFonts w:ascii="Times New Roman" w:hAnsi="Times New Roman" w:cs="Times New Roman"/>
        </w:rPr>
        <w:t xml:space="preserve"> že tento príkaz bude pre veriteľa, ktorý sa usiluje o vymoženie dlhov od dlžníka v cezhraničných prípadoch, užitočným nástrojom, dlžník nie je informovaný o návrhu veriteľa na vydanie príkazu, nie je vypočutý pred vydaním príkazu a ani oboznámený o príkaze pred jeho vykonaním. Príkaz, ako i všetky súvisiace písomnosti sa doručujú dlžníkovi bezodkladne po vykonaní príkazu. Dlžník má možnosť využiť opravný prostriedok bezp</w:t>
      </w:r>
      <w:r>
        <w:rPr>
          <w:rFonts w:ascii="Times New Roman" w:hAnsi="Times New Roman" w:cs="Times New Roman"/>
        </w:rPr>
        <w:t>rostredne po vykonaní príkazu (p</w:t>
      </w:r>
      <w:r w:rsidRPr="003E4827">
        <w:rPr>
          <w:rFonts w:ascii="Times New Roman" w:hAnsi="Times New Roman" w:cs="Times New Roman"/>
        </w:rPr>
        <w:t>ozri tiež doručenie dlžníkovi).</w:t>
      </w:r>
    </w:p>
    <w:p w:rsidR="007223DC" w:rsidRDefault="007223DC" w:rsidP="007223DC">
      <w:pPr>
        <w:ind w:firstLine="708"/>
        <w:jc w:val="both"/>
        <w:rPr>
          <w:rFonts w:ascii="Times New Roman" w:hAnsi="Times New Roman" w:cs="Times New Roman"/>
        </w:rPr>
      </w:pPr>
      <w:r w:rsidRPr="003E4827">
        <w:rPr>
          <w:rFonts w:ascii="Times New Roman" w:hAnsi="Times New Roman" w:cs="Times New Roman"/>
        </w:rPr>
        <w:t>Procesné pravidlá neupravené nariadením sa spravujú právom členského š</w:t>
      </w:r>
      <w:r>
        <w:rPr>
          <w:rFonts w:ascii="Times New Roman" w:hAnsi="Times New Roman" w:cs="Times New Roman"/>
        </w:rPr>
        <w:t>tátu, v ktorom prebieha konanie, resp. v ktorom dochádza k výkonu príkazu.</w:t>
      </w:r>
    </w:p>
    <w:p w:rsidR="007223DC" w:rsidRDefault="007223DC" w:rsidP="007223DC">
      <w:pPr>
        <w:ind w:firstLine="708"/>
        <w:jc w:val="both"/>
        <w:rPr>
          <w:rFonts w:ascii="Times New Roman" w:hAnsi="Times New Roman" w:cs="Times New Roman"/>
        </w:rPr>
      </w:pPr>
      <w:r>
        <w:rPr>
          <w:rFonts w:ascii="Times New Roman" w:hAnsi="Times New Roman" w:cs="Times New Roman"/>
        </w:rPr>
        <w:t>Návrh zákona upravuje len tie oblasti, kde nariadenie, ktoré je priamo aplikovateľné prenecháva priestor  a odkazuje na vnútroštátnu úpravu.</w:t>
      </w:r>
    </w:p>
    <w:p w:rsidR="00D503C8" w:rsidRPr="0032082D" w:rsidRDefault="00D503C8" w:rsidP="0032082D">
      <w:pPr>
        <w:ind w:firstLine="708"/>
        <w:jc w:val="both"/>
        <w:rPr>
          <w:rFonts w:ascii="Times New Roman" w:hAnsi="Times New Roman" w:cs="Times New Roman"/>
        </w:rPr>
      </w:pPr>
      <w:r w:rsidRPr="0032082D">
        <w:rPr>
          <w:rFonts w:ascii="Times New Roman" w:hAnsi="Times New Roman" w:cs="Times New Roman"/>
        </w:rPr>
        <w:t>Návrh zákona je v súlade s ústavou, s ústavnými zákonmi a nálezmi ústavného súdu, s inými zákonmi a s právom Európskej únie.</w:t>
      </w:r>
    </w:p>
    <w:p w:rsidR="00D503C8" w:rsidRDefault="00D503C8" w:rsidP="00D503C8">
      <w:pPr>
        <w:pStyle w:val="Default"/>
        <w:rPr>
          <w:sz w:val="23"/>
          <w:szCs w:val="23"/>
        </w:rPr>
      </w:pPr>
    </w:p>
    <w:p w:rsidR="004B6A80" w:rsidRDefault="00503674"/>
    <w:sectPr w:rsidR="004B6A8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674" w:rsidRDefault="00503674" w:rsidP="007223DC">
      <w:pPr>
        <w:spacing w:after="0" w:line="240" w:lineRule="auto"/>
      </w:pPr>
      <w:r>
        <w:separator/>
      </w:r>
    </w:p>
  </w:endnote>
  <w:endnote w:type="continuationSeparator" w:id="0">
    <w:p w:rsidR="00503674" w:rsidRDefault="00503674" w:rsidP="00722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43214"/>
      <w:docPartObj>
        <w:docPartGallery w:val="Page Numbers (Bottom of Page)"/>
        <w:docPartUnique/>
      </w:docPartObj>
    </w:sdtPr>
    <w:sdtEndPr/>
    <w:sdtContent>
      <w:p w:rsidR="007223DC" w:rsidRDefault="007223DC">
        <w:pPr>
          <w:pStyle w:val="Pta"/>
          <w:jc w:val="center"/>
        </w:pPr>
        <w:r>
          <w:fldChar w:fldCharType="begin"/>
        </w:r>
        <w:r>
          <w:instrText>PAGE   \* MERGEFORMAT</w:instrText>
        </w:r>
        <w:r>
          <w:fldChar w:fldCharType="separate"/>
        </w:r>
        <w:r w:rsidR="00996A8B">
          <w:rPr>
            <w:noProof/>
          </w:rPr>
          <w:t>1</w:t>
        </w:r>
        <w:r>
          <w:fldChar w:fldCharType="end"/>
        </w:r>
      </w:p>
    </w:sdtContent>
  </w:sdt>
  <w:p w:rsidR="007223DC" w:rsidRDefault="007223D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674" w:rsidRDefault="00503674" w:rsidP="007223DC">
      <w:pPr>
        <w:spacing w:after="0" w:line="240" w:lineRule="auto"/>
      </w:pPr>
      <w:r>
        <w:separator/>
      </w:r>
    </w:p>
  </w:footnote>
  <w:footnote w:type="continuationSeparator" w:id="0">
    <w:p w:rsidR="00503674" w:rsidRDefault="00503674" w:rsidP="007223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51BE4"/>
    <w:multiLevelType w:val="hybridMultilevel"/>
    <w:tmpl w:val="2A487EF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3DC"/>
    <w:rsid w:val="000A2C9C"/>
    <w:rsid w:val="0032082D"/>
    <w:rsid w:val="00503674"/>
    <w:rsid w:val="007223DC"/>
    <w:rsid w:val="00940B1F"/>
    <w:rsid w:val="00996A8B"/>
    <w:rsid w:val="00C060E7"/>
    <w:rsid w:val="00D503C8"/>
    <w:rsid w:val="00D830A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223DC"/>
    <w:pPr>
      <w:spacing w:after="160" w:line="259"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223DC"/>
    <w:pPr>
      <w:ind w:left="720"/>
      <w:contextualSpacing/>
    </w:pPr>
  </w:style>
  <w:style w:type="character" w:styleId="Textzstupnhosymbolu">
    <w:name w:val="Placeholder Text"/>
    <w:basedOn w:val="Predvolenpsmoodseku"/>
    <w:uiPriority w:val="99"/>
    <w:semiHidden/>
    <w:rsid w:val="007223DC"/>
    <w:rPr>
      <w:rFonts w:ascii="Times New Roman" w:hAnsi="Times New Roman"/>
      <w:color w:val="808080"/>
    </w:rPr>
  </w:style>
  <w:style w:type="paragraph" w:styleId="Hlavika">
    <w:name w:val="header"/>
    <w:basedOn w:val="Normlny"/>
    <w:link w:val="HlavikaChar"/>
    <w:uiPriority w:val="99"/>
    <w:unhideWhenUsed/>
    <w:rsid w:val="007223D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223DC"/>
  </w:style>
  <w:style w:type="paragraph" w:styleId="Pta">
    <w:name w:val="footer"/>
    <w:basedOn w:val="Normlny"/>
    <w:link w:val="PtaChar"/>
    <w:uiPriority w:val="99"/>
    <w:unhideWhenUsed/>
    <w:rsid w:val="007223DC"/>
    <w:pPr>
      <w:tabs>
        <w:tab w:val="center" w:pos="4536"/>
        <w:tab w:val="right" w:pos="9072"/>
      </w:tabs>
      <w:spacing w:after="0" w:line="240" w:lineRule="auto"/>
    </w:pPr>
  </w:style>
  <w:style w:type="character" w:customStyle="1" w:styleId="PtaChar">
    <w:name w:val="Päta Char"/>
    <w:basedOn w:val="Predvolenpsmoodseku"/>
    <w:link w:val="Pta"/>
    <w:uiPriority w:val="99"/>
    <w:rsid w:val="007223DC"/>
  </w:style>
  <w:style w:type="paragraph" w:customStyle="1" w:styleId="Default">
    <w:name w:val="Default"/>
    <w:rsid w:val="00D503C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223DC"/>
    <w:pPr>
      <w:spacing w:after="160" w:line="259"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223DC"/>
    <w:pPr>
      <w:ind w:left="720"/>
      <w:contextualSpacing/>
    </w:pPr>
  </w:style>
  <w:style w:type="character" w:styleId="Textzstupnhosymbolu">
    <w:name w:val="Placeholder Text"/>
    <w:basedOn w:val="Predvolenpsmoodseku"/>
    <w:uiPriority w:val="99"/>
    <w:semiHidden/>
    <w:rsid w:val="007223DC"/>
    <w:rPr>
      <w:rFonts w:ascii="Times New Roman" w:hAnsi="Times New Roman"/>
      <w:color w:val="808080"/>
    </w:rPr>
  </w:style>
  <w:style w:type="paragraph" w:styleId="Hlavika">
    <w:name w:val="header"/>
    <w:basedOn w:val="Normlny"/>
    <w:link w:val="HlavikaChar"/>
    <w:uiPriority w:val="99"/>
    <w:unhideWhenUsed/>
    <w:rsid w:val="007223D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223DC"/>
  </w:style>
  <w:style w:type="paragraph" w:styleId="Pta">
    <w:name w:val="footer"/>
    <w:basedOn w:val="Normlny"/>
    <w:link w:val="PtaChar"/>
    <w:uiPriority w:val="99"/>
    <w:unhideWhenUsed/>
    <w:rsid w:val="007223DC"/>
    <w:pPr>
      <w:tabs>
        <w:tab w:val="center" w:pos="4536"/>
        <w:tab w:val="right" w:pos="9072"/>
      </w:tabs>
      <w:spacing w:after="0" w:line="240" w:lineRule="auto"/>
    </w:pPr>
  </w:style>
  <w:style w:type="character" w:customStyle="1" w:styleId="PtaChar">
    <w:name w:val="Päta Char"/>
    <w:basedOn w:val="Predvolenpsmoodseku"/>
    <w:link w:val="Pta"/>
    <w:uiPriority w:val="99"/>
    <w:rsid w:val="007223DC"/>
  </w:style>
  <w:style w:type="paragraph" w:customStyle="1" w:styleId="Default">
    <w:name w:val="Default"/>
    <w:rsid w:val="00D503C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vodova-sprava-vseob-cast-(1)"/>
    <f:field ref="objsubject" par="" edit="true" text=""/>
    <f:field ref="objcreatedby" par="" text="Rusnáková, Gabriela"/>
    <f:field ref="objcreatedat" par="" text="24.8.2016 12:49:05"/>
    <f:field ref="objchangedby" par="" text="Administrator, System"/>
    <f:field ref="objmodifiedat" par="" text="24.8.2016 12:49:0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4372</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RUSNAKOVA Gabriela</dc:creator>
  <cp:lastModifiedBy>RUSNAKOVA Gabriela</cp:lastModifiedBy>
  <cp:revision>2</cp:revision>
  <dcterms:created xsi:type="dcterms:W3CDTF">2016-10-12T12:06:00Z</dcterms:created>
  <dcterms:modified xsi:type="dcterms:W3CDTF">2016-10-12T12:06:00Z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Materiál sa nachádza medzi nepovinnými prílohami.</vt:lpwstr>
  </property>
  <property fmtid="{D5CDD505-2E9C-101B-9397-08002B2CF9AE}" pid="3" name="FSC#SKEDITIONSLOVLEX@103.510:typpredpis">
    <vt:lpwstr>Zákon</vt:lpwstr>
  </property>
  <property fmtid="{D5CDD505-2E9C-101B-9397-08002B2CF9AE}" pid="4" name="FSC#SKEDITIONSLOVLEX@103.510:aktualnyrok">
    <vt:lpwstr>2016</vt:lpwstr>
  </property>
  <property fmtid="{D5CDD505-2E9C-101B-9397-08002B2CF9AE}" pid="5" name="FSC#SKEDITIONSLOVLEX@103.510:cisloparlamenttlac">
    <vt:lpwstr/>
  </property>
  <property fmtid="{D5CDD505-2E9C-101B-9397-08002B2CF9AE}" pid="6" name="FSC#SKEDITIONSLOVLEX@103.510:stavpredpis">
    <vt:lpwstr>Príprava materiálu</vt:lpwstr>
  </property>
  <property fmtid="{D5CDD505-2E9C-101B-9397-08002B2CF9AE}" pid="7" name="FSC#SKEDITIONSLOVLEX@103.510:povodpredpis">
    <vt:lpwstr>Slovlex (eLeg)</vt:lpwstr>
  </property>
  <property fmtid="{D5CDD505-2E9C-101B-9397-08002B2CF9AE}" pid="8" name="FSC#SKEDITIONSLOVLEX@103.510:legoblast">
    <vt:lpwstr>Občianske právo_x000d_
Právo EÚ_x000d_
Obchodné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Gabriela Rusnáková</vt:lpwstr>
  </property>
  <property fmtid="{D5CDD505-2E9C-101B-9397-08002B2CF9AE}" pid="12" name="FSC#SKEDITIONSLOVLEX@103.510:zodppredkladatel">
    <vt:lpwstr>Lucia Žitňanská</vt:lpwstr>
  </property>
  <property fmtid="{D5CDD505-2E9C-101B-9397-08002B2CF9AE}" pid="13" name="FSC#SKEDITIONSLOVLEX@103.510:dalsipredkladatel">
    <vt:lpwstr/>
  </property>
  <property fmtid="{D5CDD505-2E9C-101B-9397-08002B2CF9AE}" pid="14" name="FSC#SKEDITIONSLOVLEX@103.510:nazovpredpis">
    <vt:lpwstr> o európskom príkaze na zablokovanie účtov a o doplnení zákona Slovenskej národnej rady č. 71/1992 Zb. o súdnych poplatkoch a poplatku za výpis z registra trestov v znení neskorších predpisov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B.1 uložená uznesením vlády č. 669 zo 17. decembra 2014</vt:lpwstr>
  </property>
  <property fmtid="{D5CDD505-2E9C-101B-9397-08002B2CF9AE}" pid="23" name="FSC#SKEDITIONSLOVLEX@103.510:plnynazovpredpis">
    <vt:lpwstr> Zákon o európskom príkaze na zablokovanie účtov a o doplnení zákona Slovenskej národnej rady č. 71/1992 Zb. o súdnych poplatkoch a poplatku za výpis z registra trestov v znení neskorších predpisov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39148/2016-110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LP/2016/561</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upravená v práve Európskej únie</vt:lpwstr>
  </property>
  <property fmtid="{D5CDD505-2E9C-101B-9397-08002B2CF9AE}" pid="46" name="FSC#SKEDITIONSLOVLEX@103.510:AttrStrListDocPropPrimarnePravoEU">
    <vt:lpwstr>- čl. 81 ods. 2 písm. a), e) a f) Zmluvy o fungovaní Európskej únie</vt:lpwstr>
  </property>
  <property fmtid="{D5CDD505-2E9C-101B-9397-08002B2CF9AE}" pid="47" name="FSC#SKEDITIONSLOVLEX@103.510:AttrStrListDocPropSekundarneLegPravoPO">
    <vt:lpwstr>- Nariadenie Európskeho parlamentu a Rady (EÚ) č. 655/2014 z  15. mája 2014 o zavedení konania týkajúceho sa európskeho príkazu na zablokovanie účtov s cieľom uľahčiť cezhraničné vymáhanie pohľadávok v občianskych a obchodných veciach (Ú. v. EÚ L 189, 27.</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18. január 2017</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Ministerstvo spravodlivosti Slovenskej republiky, Ministerstvo financií Slovenkej republiky, Národná banka Slovenska</vt:lpwstr>
  </property>
  <property fmtid="{D5CDD505-2E9C-101B-9397-08002B2CF9AE}" pid="58" name="FSC#SKEDITIONSLOVLEX@103.510:AttrDateDocPropZaciatokPKK">
    <vt:lpwstr>5. 8. 2016</vt:lpwstr>
  </property>
  <property fmtid="{D5CDD505-2E9C-101B-9397-08002B2CF9AE}" pid="59" name="FSC#SKEDITIONSLOVLEX@103.510:AttrDateDocPropUkonceniePKK">
    <vt:lpwstr>18. 8. 2016</vt:lpwstr>
  </property>
  <property fmtid="{D5CDD505-2E9C-101B-9397-08002B2CF9AE}" pid="60" name="FSC#SKEDITIONSLOVLEX@103.510:AttrStrDocPropVplyvRozpocetVS">
    <vt:lpwstr>Pozitívne_x000d_
Negatívne</vt:lpwstr>
  </property>
  <property fmtid="{D5CDD505-2E9C-101B-9397-08002B2CF9AE}" pid="61" name="FSC#SKEDITIONSLOVLEX@103.510:AttrStrDocPropVplyvPodnikatelskeProstr">
    <vt:lpwstr>Pozitívne</vt:lpwstr>
  </property>
  <property fmtid="{D5CDD505-2E9C-101B-9397-08002B2CF9AE}" pid="62" name="FSC#SKEDITIONSLOVLEX@103.510:AttrStrDocPropVplyvSocialny">
    <vt:lpwstr>Pozitívne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Vplyv na rozpočet nie je možné kvantifikovať, ide o zavedenie nového inštitútu pričom nie je možné odhadnúť nápad vecí na súdy a z tohto dôvodu nie je analýza vplyvov na rozpočet verejnej správy vypracovaná. Negatívny vplyv na rozpočet verejnej správy bud</vt:lpwstr>
  </property>
  <property fmtid="{D5CDD505-2E9C-101B-9397-08002B2CF9AE}" pid="66" name="FSC#SKEDITIONSLOVLEX@103.510:AttrStrListDocPropAltRiesenia">
    <vt:lpwstr>Vzhľadom na to, že od riešenia prijatého nariadením EÚ nie je možné sa odchýliť, iné alternatívne riešenie posudzované nebolo. V rámci návrhu zákona sa zvažovalo, ktoré orgány v SR budú ustanovené za príslušné konať v zmysle nariadenia ako orgán pôvodu, o</vt:lpwstr>
  </property>
  <property fmtid="{D5CDD505-2E9C-101B-9397-08002B2CF9AE}" pid="67" name="FSC#SKEDITIONSLOVLEX@103.510:AttrStrListDocPropStanoviskoGest">
    <vt:lpwstr/>
  </property>
  <property fmtid="{D5CDD505-2E9C-101B-9397-08002B2CF9AE}" pid="68" name="FSC#SKEDITIONSLOVLEX@103.510:AttrStrListDocPropTextKomunike">
    <vt:lpwstr>Vláda Slovenskej republiky na svojom rokovaní dňa ....................... prerokovala a schválila návrh zákona o európskom príkaze na zablokovanie účtov a o doplnení zákona Slovenskej národnej rady č. 71/1992 Zb. o súdnych poplatkoch a poplatku za výpis z</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podpredsedníčka vlády a ministerka spravodlivosti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podpredsedníčka vlády a ministerka spravodlivosti Slovenskej republiky</vt:lpwstr>
  </property>
  <property fmtid="{D5CDD505-2E9C-101B-9397-08002B2CF9AE}" pid="142" name="FSC#SKEDITIONSLOVLEX@103.510:funkciaZodpPredAkuzativ">
    <vt:lpwstr>podpredsedníčku vlády a ministerku spravodlivosti Slovenskej republiky</vt:lpwstr>
  </property>
  <property fmtid="{D5CDD505-2E9C-101B-9397-08002B2CF9AE}" pid="143" name="FSC#SKEDITIONSLOVLEX@103.510:funkciaZodpPredDativ">
    <vt:lpwstr>podpredsedníčke vlády a ministerke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Lucia Žitňanská_x000d_
podpredsedníčka vlády a ministerka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spravodlivosti Slovenskej republiky predkladá do medzirezortného pripomienkového konania návrh zákona&amp;nbsp; o európskom príkaze na zablokovanie účtov a o doplnení zákona Slovenskej národnej rady č. 71/1992 Zb. </vt:lpwstr>
  </property>
  <property fmtid="{D5CDD505-2E9C-101B-9397-08002B2CF9AE}" pid="150" name="FSC#COOSYSTEM@1.1:Container">
    <vt:lpwstr>COO.2145.1000.3.1584698</vt:lpwstr>
  </property>
  <property fmtid="{D5CDD505-2E9C-101B-9397-08002B2CF9AE}" pid="151" name="FSC#FSCFOLIO@1.1001:docpropproject">
    <vt:lpwstr/>
  </property>
</Properties>
</file>