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74EDB" w:rsidRPr="002E32C0" w:rsidTr="002920FC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2920FC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2920FC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81B67" w:rsidTr="002920FC">
        <w:trPr>
          <w:trHeight w:val="995"/>
        </w:trPr>
        <w:tc>
          <w:tcPr>
            <w:tcW w:w="9212" w:type="dxa"/>
          </w:tcPr>
          <w:p w:rsidR="00820C03" w:rsidRPr="0032278B" w:rsidRDefault="00281B67" w:rsidP="004C228D">
            <w:pPr>
              <w:jc w:val="both"/>
              <w:rPr>
                <w:i/>
                <w:sz w:val="24"/>
                <w:szCs w:val="24"/>
              </w:rPr>
            </w:pPr>
            <w:r w:rsidRPr="006F08F7">
              <w:rPr>
                <w:i/>
                <w:sz w:val="24"/>
                <w:szCs w:val="24"/>
              </w:rPr>
              <w:t>Návrh zákona, ktorým sa mení a dopĺňa zákon č. 264/1999 Z. z. o technických požiadavkách na výrobky a o posudzovaní zhody a o zmene a doplnení niektorých zákonov v znení neskorších predpisov (ďalej len „návrh zákona“)</w:t>
            </w:r>
            <w:r w:rsidRPr="0032278B">
              <w:rPr>
                <w:i/>
                <w:sz w:val="24"/>
                <w:szCs w:val="24"/>
              </w:rPr>
              <w:t xml:space="preserve"> ustanovuje spoločný rámec pre oblasť technickej normalizácie, vnútrokomunitárne pripomienkové konanie a výmenu informácií o technických predpisoch medzi Slovenskou republikou a Európskou komisiou a sprístupňovania výrobkov na trhu. V oblasti posudzovania zhody a sprístupňovania výrobkov na trhu sa definuje skupina tz</w:t>
            </w:r>
            <w:r w:rsidR="00AD5F11">
              <w:rPr>
                <w:i/>
                <w:sz w:val="24"/>
                <w:szCs w:val="24"/>
              </w:rPr>
              <w:t>v</w:t>
            </w:r>
            <w:r w:rsidRPr="0032278B">
              <w:rPr>
                <w:i/>
                <w:sz w:val="24"/>
                <w:szCs w:val="24"/>
              </w:rPr>
              <w:t xml:space="preserve">. „určených výrobkov“, čiže </w:t>
            </w:r>
            <w:r w:rsidRPr="00B01A8E">
              <w:rPr>
                <w:i/>
                <w:sz w:val="24"/>
                <w:szCs w:val="24"/>
              </w:rPr>
              <w:t xml:space="preserve">výrobkov, </w:t>
            </w:r>
            <w:r w:rsidR="002920FC" w:rsidRPr="00B01A8E">
              <w:rPr>
                <w:i/>
                <w:sz w:val="24"/>
                <w:szCs w:val="24"/>
              </w:rPr>
              <w:t>ktoré predstavujú zvýšené riziko ohrozenia oprávneného záujmu, na ktorého zmiernenie alebo odstránenie sú ustanovené technické požiadav</w:t>
            </w:r>
            <w:bookmarkStart w:id="0" w:name="_GoBack"/>
            <w:bookmarkEnd w:id="0"/>
            <w:r w:rsidR="002920FC" w:rsidRPr="00B01A8E">
              <w:rPr>
                <w:i/>
                <w:sz w:val="24"/>
                <w:szCs w:val="24"/>
              </w:rPr>
              <w:t>ky a posudzovanie zhody. Medzi určené výrobky, patria rôzne skupiny výrobkov, napr. emisie hluku zariadení používaných vo vonkajšom priestore, elektromagnetická kompatibil</w:t>
            </w:r>
            <w:r w:rsidR="00254462" w:rsidRPr="00B01A8E">
              <w:rPr>
                <w:i/>
                <w:sz w:val="24"/>
                <w:szCs w:val="24"/>
              </w:rPr>
              <w:t>i</w:t>
            </w:r>
            <w:r w:rsidR="002920FC" w:rsidRPr="00B01A8E">
              <w:rPr>
                <w:i/>
                <w:sz w:val="24"/>
                <w:szCs w:val="24"/>
              </w:rPr>
              <w:t>ta, výbušniny, pyrotechnické výrobky atď., pr</w:t>
            </w:r>
            <w:r w:rsidR="00AD5F11" w:rsidRPr="00B01A8E">
              <w:rPr>
                <w:i/>
                <w:sz w:val="24"/>
                <w:szCs w:val="24"/>
              </w:rPr>
              <w:t>e</w:t>
            </w:r>
            <w:r w:rsidR="002920FC" w:rsidRPr="00B01A8E">
              <w:rPr>
                <w:i/>
                <w:sz w:val="24"/>
                <w:szCs w:val="24"/>
              </w:rPr>
              <w:t xml:space="preserve"> ktoré sú ustanovené také technické požiadavky, aby výrobky predstavo</w:t>
            </w:r>
            <w:r w:rsidR="00254462" w:rsidRPr="00B01A8E">
              <w:rPr>
                <w:i/>
                <w:sz w:val="24"/>
                <w:szCs w:val="24"/>
              </w:rPr>
              <w:t>va</w:t>
            </w:r>
            <w:r w:rsidR="002920FC" w:rsidRPr="00B01A8E">
              <w:rPr>
                <w:i/>
                <w:sz w:val="24"/>
                <w:szCs w:val="24"/>
              </w:rPr>
              <w:t>li čo najmenšie riziko pre životné prostredie – ovzdušie, vodu, organizmy, pôdu a horniny.</w:t>
            </w:r>
            <w:r w:rsidRPr="006F08F7">
              <w:rPr>
                <w:i/>
                <w:sz w:val="24"/>
                <w:szCs w:val="24"/>
              </w:rPr>
              <w:t xml:space="preserve"> </w:t>
            </w:r>
            <w:r w:rsidR="00CD6092" w:rsidRPr="0032278B">
              <w:rPr>
                <w:i/>
                <w:sz w:val="24"/>
                <w:szCs w:val="24"/>
              </w:rPr>
              <w:t xml:space="preserve">V súvislosti s tým, že </w:t>
            </w:r>
            <w:r w:rsidR="004C228D" w:rsidRPr="0032278B">
              <w:rPr>
                <w:i/>
                <w:sz w:val="24"/>
                <w:szCs w:val="24"/>
              </w:rPr>
              <w:t xml:space="preserve">sa </w:t>
            </w:r>
            <w:r w:rsidR="00CD6092" w:rsidRPr="0032278B">
              <w:rPr>
                <w:i/>
                <w:sz w:val="24"/>
                <w:szCs w:val="24"/>
              </w:rPr>
              <w:t>na určen</w:t>
            </w:r>
            <w:r w:rsidR="00173C27" w:rsidRPr="006F08F7">
              <w:rPr>
                <w:i/>
                <w:sz w:val="24"/>
                <w:szCs w:val="24"/>
              </w:rPr>
              <w:t>ých</w:t>
            </w:r>
            <w:r w:rsidR="00CD6092" w:rsidRPr="0032278B">
              <w:rPr>
                <w:i/>
                <w:sz w:val="24"/>
                <w:szCs w:val="24"/>
              </w:rPr>
              <w:t xml:space="preserve"> výrobk</w:t>
            </w:r>
            <w:r w:rsidR="00173C27" w:rsidRPr="006F08F7">
              <w:rPr>
                <w:i/>
                <w:sz w:val="24"/>
                <w:szCs w:val="24"/>
              </w:rPr>
              <w:t>och</w:t>
            </w:r>
            <w:r w:rsidR="00CD6092" w:rsidRPr="0032278B">
              <w:rPr>
                <w:i/>
                <w:sz w:val="24"/>
                <w:szCs w:val="24"/>
              </w:rPr>
              <w:t xml:space="preserve"> musí vykonať posudzovanie zhody v rámci vopred určených technických požiadaviek na tieto výrobky</w:t>
            </w:r>
            <w:r w:rsidR="004C228D" w:rsidRPr="0032278B">
              <w:rPr>
                <w:i/>
                <w:sz w:val="24"/>
                <w:szCs w:val="24"/>
              </w:rPr>
              <w:t>,</w:t>
            </w:r>
            <w:r w:rsidR="00CD6092" w:rsidRPr="0032278B">
              <w:rPr>
                <w:i/>
                <w:sz w:val="24"/>
                <w:szCs w:val="24"/>
              </w:rPr>
              <w:t xml:space="preserve"> bude mať návrh zákona</w:t>
            </w:r>
            <w:r w:rsidR="00C323DE" w:rsidRPr="0032278B">
              <w:rPr>
                <w:i/>
                <w:sz w:val="24"/>
                <w:szCs w:val="24"/>
              </w:rPr>
              <w:t xml:space="preserve"> </w:t>
            </w:r>
            <w:r w:rsidR="00CD6092" w:rsidRPr="0032278B">
              <w:rPr>
                <w:i/>
                <w:sz w:val="24"/>
                <w:szCs w:val="24"/>
              </w:rPr>
              <w:t xml:space="preserve">pozitívny vplyv na životné prostredie. V rámci technických požiadaviek na výrobky sa </w:t>
            </w:r>
            <w:r w:rsidR="00C323DE" w:rsidRPr="0032278B">
              <w:rPr>
                <w:i/>
                <w:sz w:val="24"/>
                <w:szCs w:val="24"/>
              </w:rPr>
              <w:t xml:space="preserve">totiž </w:t>
            </w:r>
            <w:r w:rsidR="00CD6092" w:rsidRPr="0032278B">
              <w:rPr>
                <w:i/>
                <w:sz w:val="24"/>
                <w:szCs w:val="24"/>
              </w:rPr>
              <w:t>uplatňujú aj environmentálne požiadavky (spotreba energie, vody, energetická efektívnosť, spotreba pracích práškov, hladina hluku, limity emisií a pod.</w:t>
            </w:r>
            <w:r w:rsidR="00C323DE" w:rsidRPr="0032278B">
              <w:rPr>
                <w:i/>
                <w:sz w:val="24"/>
                <w:szCs w:val="24"/>
              </w:rPr>
              <w:t>)</w:t>
            </w:r>
            <w:r w:rsidR="00254462" w:rsidRPr="0032278B">
              <w:rPr>
                <w:i/>
                <w:sz w:val="24"/>
                <w:szCs w:val="24"/>
              </w:rPr>
              <w:t xml:space="preserve">, pričom všetky technické požiadavky sa ustanovujú s cieľom vytvoriť </w:t>
            </w:r>
            <w:r w:rsidR="001929E4" w:rsidRPr="0032278B">
              <w:rPr>
                <w:i/>
                <w:sz w:val="24"/>
                <w:szCs w:val="24"/>
              </w:rPr>
              <w:t>„</w:t>
            </w:r>
            <w:r w:rsidR="00254462" w:rsidRPr="0032278B">
              <w:rPr>
                <w:i/>
                <w:sz w:val="24"/>
                <w:szCs w:val="24"/>
              </w:rPr>
              <w:t>bezpečný výrobok</w:t>
            </w:r>
            <w:r w:rsidR="001929E4" w:rsidRPr="0032278B">
              <w:rPr>
                <w:i/>
                <w:sz w:val="24"/>
                <w:szCs w:val="24"/>
              </w:rPr>
              <w:t>“</w:t>
            </w:r>
            <w:r w:rsidR="00254462" w:rsidRPr="0032278B">
              <w:rPr>
                <w:i/>
                <w:sz w:val="24"/>
                <w:szCs w:val="24"/>
              </w:rPr>
              <w:t xml:space="preserve"> pre jeho používateľa ako aj okolité prostredie.</w:t>
            </w:r>
            <w:r w:rsidR="00CD6092" w:rsidRPr="0032278B">
              <w:rPr>
                <w:i/>
                <w:sz w:val="24"/>
                <w:szCs w:val="24"/>
              </w:rPr>
              <w:t xml:space="preserve"> Vykonávaním posudzovania zhody v zmysle harmonizovaných predpisov sa má zamedziť rizikám voči zdraviu ľudí, znížiť environmentálny vplyv</w:t>
            </w:r>
            <w:r w:rsidR="001929E4" w:rsidRPr="0032278B">
              <w:rPr>
                <w:i/>
                <w:sz w:val="24"/>
                <w:szCs w:val="24"/>
              </w:rPr>
              <w:t xml:space="preserve"> a</w:t>
            </w:r>
            <w:r w:rsidR="00CD6092" w:rsidRPr="0032278B">
              <w:rPr>
                <w:i/>
                <w:sz w:val="24"/>
                <w:szCs w:val="24"/>
              </w:rPr>
              <w:t xml:space="preserve"> zabezpečiť ochran</w:t>
            </w:r>
            <w:r w:rsidR="00C323DE" w:rsidRPr="0032278B">
              <w:rPr>
                <w:i/>
                <w:sz w:val="24"/>
                <w:szCs w:val="24"/>
              </w:rPr>
              <w:t>a</w:t>
            </w:r>
            <w:r w:rsidR="00CD6092" w:rsidRPr="0032278B">
              <w:rPr>
                <w:i/>
                <w:sz w:val="24"/>
                <w:szCs w:val="24"/>
              </w:rPr>
              <w:t xml:space="preserve"> spotrebiteľa. Výrobcovia alebo distribútori, ktorí uvádzajú tieto výrobky na trh, musia na základe predpísaných </w:t>
            </w:r>
            <w:r w:rsidR="00C323DE" w:rsidRPr="0032278B">
              <w:rPr>
                <w:i/>
                <w:sz w:val="24"/>
                <w:szCs w:val="24"/>
              </w:rPr>
              <w:t xml:space="preserve">postupov </w:t>
            </w:r>
            <w:r w:rsidR="00CD6092" w:rsidRPr="0032278B">
              <w:rPr>
                <w:i/>
                <w:sz w:val="24"/>
                <w:szCs w:val="24"/>
              </w:rPr>
              <w:t xml:space="preserve">posudzovania zhody deklarovať zhodu tzv. </w:t>
            </w:r>
            <w:r w:rsidR="00C323DE" w:rsidRPr="0032278B">
              <w:rPr>
                <w:i/>
                <w:sz w:val="24"/>
                <w:szCs w:val="24"/>
              </w:rPr>
              <w:t xml:space="preserve">EÚ </w:t>
            </w:r>
            <w:r w:rsidR="00CD6092" w:rsidRPr="0032278B">
              <w:rPr>
                <w:i/>
                <w:sz w:val="24"/>
                <w:szCs w:val="24"/>
              </w:rPr>
              <w:t xml:space="preserve">vyhlásením o zhode. </w:t>
            </w:r>
          </w:p>
          <w:p w:rsidR="0032278B" w:rsidRPr="0032278B" w:rsidRDefault="0032278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  <w:r w:rsidRPr="0032278B">
              <w:rPr>
                <w:i/>
                <w:sz w:val="24"/>
                <w:szCs w:val="24"/>
              </w:rPr>
              <w:t xml:space="preserve"> </w:t>
            </w:r>
            <w:r w:rsidR="00820C03" w:rsidRPr="0032278B">
              <w:rPr>
                <w:i/>
                <w:sz w:val="24"/>
                <w:szCs w:val="24"/>
              </w:rPr>
              <w:t>oblas</w:t>
            </w:r>
            <w:r>
              <w:rPr>
                <w:i/>
                <w:sz w:val="24"/>
                <w:szCs w:val="24"/>
              </w:rPr>
              <w:t>ti</w:t>
            </w:r>
            <w:r w:rsidR="00820C03" w:rsidRPr="0032278B">
              <w:rPr>
                <w:i/>
                <w:sz w:val="24"/>
                <w:szCs w:val="24"/>
              </w:rPr>
              <w:t xml:space="preserve"> technickej normalizácie </w:t>
            </w:r>
            <w:r w:rsidR="007E102B">
              <w:rPr>
                <w:i/>
                <w:sz w:val="24"/>
                <w:szCs w:val="24"/>
              </w:rPr>
              <w:t xml:space="preserve">sa </w:t>
            </w:r>
            <w:r w:rsidRPr="0032278B">
              <w:rPr>
                <w:i/>
                <w:sz w:val="24"/>
                <w:szCs w:val="24"/>
              </w:rPr>
              <w:t>zavádza a definuje pojem technická norma. B</w:t>
            </w:r>
            <w:r w:rsidRPr="006F08F7">
              <w:rPr>
                <w:i/>
                <w:sz w:val="24"/>
                <w:szCs w:val="24"/>
              </w:rPr>
              <w:t>ohatstvo technických noriem spočíva v ich obsahu, lebo konkretizujú postupy výroby, postupy skúšania výrobkov a iné technologické postupy, kontrolu systémov manažérstva kvality ako aj všetky ďalšie podrobné požiadavky na najrôznorodejšie skupiny výrobkov</w:t>
            </w:r>
            <w:r w:rsidR="007E102B">
              <w:rPr>
                <w:i/>
                <w:sz w:val="24"/>
                <w:szCs w:val="24"/>
              </w:rPr>
              <w:t>,</w:t>
            </w:r>
            <w:r w:rsidRPr="006F08F7">
              <w:rPr>
                <w:i/>
                <w:sz w:val="24"/>
                <w:szCs w:val="24"/>
              </w:rPr>
              <w:t xml:space="preserve"> </w:t>
            </w:r>
            <w:r w:rsidR="007E102B">
              <w:rPr>
                <w:i/>
                <w:sz w:val="24"/>
                <w:szCs w:val="24"/>
              </w:rPr>
              <w:t>pričom</w:t>
            </w:r>
            <w:r w:rsidRPr="006F08F7">
              <w:rPr>
                <w:i/>
                <w:sz w:val="24"/>
                <w:szCs w:val="24"/>
              </w:rPr>
              <w:t xml:space="preserve"> technické normy zohľadňujú a odrážajú vedecko-technický pokrok danej doby a sú pravidelne aktualizované a dopĺňané o najnovšie poznatky vedy a techniky daného obdobia, pričom aktuálne zohľadňujú aplikačnú prax </w:t>
            </w:r>
            <w:r w:rsidR="007E102B">
              <w:rPr>
                <w:i/>
                <w:sz w:val="24"/>
                <w:szCs w:val="24"/>
              </w:rPr>
              <w:t>a</w:t>
            </w:r>
            <w:r w:rsidRPr="006F08F7">
              <w:rPr>
                <w:i/>
                <w:sz w:val="24"/>
                <w:szCs w:val="24"/>
              </w:rPr>
              <w:t xml:space="preserve"> ich dodržiavaním sa ustanovuje jednotný postup preukazovania plnenia jednotlivých požiadaviek, čo má v konečnom dôsledku pozitívny vplyv na životné prostredie. </w:t>
            </w:r>
          </w:p>
          <w:p w:rsidR="00374EDB" w:rsidRPr="0032278B" w:rsidRDefault="004C228D">
            <w:pPr>
              <w:jc w:val="both"/>
              <w:rPr>
                <w:i/>
                <w:sz w:val="24"/>
                <w:szCs w:val="24"/>
              </w:rPr>
            </w:pPr>
            <w:r w:rsidRPr="0032278B">
              <w:rPr>
                <w:i/>
                <w:sz w:val="24"/>
                <w:szCs w:val="24"/>
              </w:rPr>
              <w:t>C</w:t>
            </w:r>
            <w:r w:rsidR="00CD6092" w:rsidRPr="0032278B">
              <w:rPr>
                <w:i/>
                <w:sz w:val="24"/>
                <w:szCs w:val="24"/>
              </w:rPr>
              <w:t xml:space="preserve">ieľom </w:t>
            </w:r>
            <w:r w:rsidRPr="0032278B">
              <w:rPr>
                <w:i/>
                <w:sz w:val="24"/>
                <w:szCs w:val="24"/>
              </w:rPr>
              <w:t xml:space="preserve">navrhovanej </w:t>
            </w:r>
            <w:r w:rsidR="00CD6092" w:rsidRPr="0032278B">
              <w:rPr>
                <w:i/>
                <w:sz w:val="24"/>
                <w:szCs w:val="24"/>
              </w:rPr>
              <w:t xml:space="preserve">právnej úpravy je zosúladiť slovenskú legislatívu s princípmi a požiadavkami európskej legislatívy a ustanoviť spoločný rámec pre </w:t>
            </w:r>
            <w:r w:rsidR="007E102B">
              <w:rPr>
                <w:i/>
                <w:sz w:val="24"/>
                <w:szCs w:val="24"/>
              </w:rPr>
              <w:t>všetky uvedené oblasti</w:t>
            </w:r>
            <w:r w:rsidRPr="0032278B">
              <w:rPr>
                <w:i/>
                <w:sz w:val="24"/>
                <w:szCs w:val="24"/>
              </w:rPr>
              <w:t>,</w:t>
            </w:r>
            <w:r w:rsidR="00CD6092" w:rsidRPr="0032278B">
              <w:rPr>
                <w:i/>
                <w:sz w:val="24"/>
                <w:szCs w:val="24"/>
              </w:rPr>
              <w:t xml:space="preserve"> a</w:t>
            </w:r>
            <w:r w:rsidRPr="0032278B">
              <w:rPr>
                <w:i/>
                <w:sz w:val="24"/>
                <w:szCs w:val="24"/>
              </w:rPr>
              <w:t xml:space="preserve"> preto </w:t>
            </w:r>
            <w:r w:rsidR="00CD6092" w:rsidRPr="0032278B">
              <w:rPr>
                <w:i/>
                <w:sz w:val="24"/>
                <w:szCs w:val="24"/>
              </w:rPr>
              <w:t xml:space="preserve">na základe vyššie uvedeného, vykonávanie ustanovení </w:t>
            </w:r>
            <w:r w:rsidR="007E102B">
              <w:rPr>
                <w:i/>
                <w:sz w:val="24"/>
                <w:szCs w:val="24"/>
              </w:rPr>
              <w:t xml:space="preserve">uvedených v </w:t>
            </w:r>
            <w:r w:rsidR="00C323DE" w:rsidRPr="0032278B">
              <w:rPr>
                <w:i/>
                <w:sz w:val="24"/>
                <w:szCs w:val="24"/>
              </w:rPr>
              <w:t xml:space="preserve">návrhu </w:t>
            </w:r>
            <w:r w:rsidR="00CD6092" w:rsidRPr="0032278B">
              <w:rPr>
                <w:i/>
                <w:sz w:val="24"/>
                <w:szCs w:val="24"/>
              </w:rPr>
              <w:t>zákona bude mať pozitívny vplyv na životné prostredie.</w:t>
            </w:r>
          </w:p>
        </w:tc>
      </w:tr>
      <w:tr w:rsidR="00374EDB" w:rsidRPr="002E32C0" w:rsidTr="002920FC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292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2920FC">
        <w:trPr>
          <w:trHeight w:val="987"/>
        </w:trPr>
        <w:tc>
          <w:tcPr>
            <w:tcW w:w="9212" w:type="dxa"/>
          </w:tcPr>
          <w:p w:rsidR="00374EDB" w:rsidRPr="002E32C0" w:rsidRDefault="00374EDB" w:rsidP="00292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</w:tc>
      </w:tr>
      <w:tr w:rsidR="00374EDB" w:rsidRPr="002E32C0" w:rsidTr="002920FC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292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2920FC">
        <w:trPr>
          <w:trHeight w:val="969"/>
        </w:trPr>
        <w:tc>
          <w:tcPr>
            <w:tcW w:w="9212" w:type="dxa"/>
          </w:tcPr>
          <w:p w:rsidR="00374EDB" w:rsidRPr="002E32C0" w:rsidRDefault="00374EDB" w:rsidP="002920FC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lastRenderedPageBreak/>
              <w:t>Typ, veľkosť a rozsah vplyvu</w:t>
            </w:r>
          </w:p>
        </w:tc>
      </w:tr>
      <w:tr w:rsidR="00374EDB" w:rsidRPr="002E32C0" w:rsidTr="002920FC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292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2920FC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2E32C0" w:rsidRDefault="00374EDB" w:rsidP="002920F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CB3623" w:rsidRPr="009D2667" w:rsidRDefault="00CB3623" w:rsidP="009D2667">
      <w:pPr>
        <w:rPr>
          <w:sz w:val="24"/>
          <w:szCs w:val="24"/>
        </w:rPr>
      </w:pPr>
    </w:p>
    <w:sectPr w:rsidR="00CB3623" w:rsidRPr="009D26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0D" w:rsidRDefault="0029190D" w:rsidP="00374EDB">
      <w:r>
        <w:separator/>
      </w:r>
    </w:p>
  </w:endnote>
  <w:endnote w:type="continuationSeparator" w:id="0">
    <w:p w:rsidR="0029190D" w:rsidRDefault="0029190D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820C03" w:rsidRPr="00374EDB" w:rsidRDefault="00820C03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D1533F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820C03" w:rsidRDefault="00820C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0D" w:rsidRDefault="0029190D" w:rsidP="00374EDB">
      <w:r>
        <w:separator/>
      </w:r>
    </w:p>
  </w:footnote>
  <w:footnote w:type="continuationSeparator" w:id="0">
    <w:p w:rsidR="0029190D" w:rsidRDefault="0029190D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03" w:rsidRDefault="00820C03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820C03" w:rsidRDefault="00820C0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F"/>
    <w:rsid w:val="00173C27"/>
    <w:rsid w:val="001929E4"/>
    <w:rsid w:val="00254462"/>
    <w:rsid w:val="00281B67"/>
    <w:rsid w:val="0029190D"/>
    <w:rsid w:val="002920FC"/>
    <w:rsid w:val="002E32C0"/>
    <w:rsid w:val="0032278B"/>
    <w:rsid w:val="00331EF1"/>
    <w:rsid w:val="00374EDB"/>
    <w:rsid w:val="003D521C"/>
    <w:rsid w:val="00413E9A"/>
    <w:rsid w:val="004C228D"/>
    <w:rsid w:val="006F08F7"/>
    <w:rsid w:val="00702CAB"/>
    <w:rsid w:val="007604EE"/>
    <w:rsid w:val="007E102B"/>
    <w:rsid w:val="00816D54"/>
    <w:rsid w:val="00820C03"/>
    <w:rsid w:val="009D2667"/>
    <w:rsid w:val="00A96EDF"/>
    <w:rsid w:val="00AD5F11"/>
    <w:rsid w:val="00B01A8E"/>
    <w:rsid w:val="00C323DE"/>
    <w:rsid w:val="00C435FB"/>
    <w:rsid w:val="00CB3623"/>
    <w:rsid w:val="00CD6092"/>
    <w:rsid w:val="00D1533F"/>
    <w:rsid w:val="00E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43F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3F9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3F9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3F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3F9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43F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3F9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3F9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3F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3F9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0-vplyvy-na-zivotne-prostredie-2016"/>
    <f:field ref="objsubject" par="" edit="true" text=""/>
    <f:field ref="objcreatedby" par="" text="Pankievičová, Anežka, Mgr."/>
    <f:field ref="objcreatedat" par="" text="2.8.2016 16:33:46"/>
    <f:field ref="objchangedby" par="" text="Administrator, System"/>
    <f:field ref="objmodifiedat" par="" text="2.8.2016 16:33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Pankievičová Anežka</cp:lastModifiedBy>
  <cp:revision>2</cp:revision>
  <cp:lastPrinted>2016-10-12T04:37:00Z</cp:lastPrinted>
  <dcterms:created xsi:type="dcterms:W3CDTF">2016-10-12T04:37:00Z</dcterms:created>
  <dcterms:modified xsi:type="dcterms:W3CDTF">2016-10-12T04:37:00Z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264/1999 Z. z. o&amp;nbsp;technických požiadavkách na výrobky a o posudzovaní zhody a&amp;nbsp;o&amp;nbsp;zmene a&amp;nbsp;doplnení niektorých zákonov v&amp;nbsp;znení&amp;nbsp;neskorších pred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Technické normy_x000d_
Metrológia a skúšobníctvo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Pankievičová</vt:lpwstr>
  </property>
  <property fmtid="{D5CDD505-2E9C-101B-9397-08002B2CF9AE}" pid="12" name="FSC#SKEDITIONSLOVLEX@103.510:zodppredkladatel">
    <vt:lpwstr>Ing. Pavol Pavlis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2016/300/005576/01903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LP/2016/762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Zmluva o fungovaní Európskej únie – článok 114 Aproximácia práva </vt:lpwstr>
  </property>
  <property fmtid="{D5CDD505-2E9C-101B-9397-08002B2CF9AE}" pid="47" name="FSC#SKEDITIONSLOVLEX@103.510:AttrStrListDocPropSekundarneLegPravoPO">
    <vt:lpwstr>Nariadenie Európskeho parlamentu a Rady (EÚ) č. 1025/2012 z 25. októbra 2012 o európskej normalizácii, ktorým sa menia a dopĺňajú smernice Rady 89/686/EHS a 93/15/EHS a smernice Európskeho parlamentu a Rady 94/9/ES, 94/25/ES, 95/16/ES, 97/23/ES, 98/34/ES,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Európskeho parlamentu a Rady (ES) č. 764/2008 z 9. júla 2008, ktorým sa ustanovujú postupy týkajúce sa uplatňovania určitých vnútroštátnych technických pravidiel na výrobky, ktoré sú v súlade s právnymi predpismi uvedené na trh v inom členskom 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do 1. januára 2013 pri nariadení (EÚ) 2012/1025,_x000d_
do 21. októbra 2016 pre články  22 až 38 a článok 44 nariadenia (EÚ) 2016/424, ostatné ustanovenia sa uplatňujú od 21. apríla 2018,_x000d_
do 21. októbra 2016 pre články  20 až 36 a článok 44 nariadenia (EÚ) 201</vt:lpwstr>
  </property>
  <property fmtid="{D5CDD505-2E9C-101B-9397-08002B2CF9AE}" pid="53" name="FSC#SKEDITIONSLOVLEX@103.510:AttrStrListDocPropLehotaNaPredlozenie">
    <vt:lpwstr>nebola určená</vt:lpwstr>
  </property>
  <property fmtid="{D5CDD505-2E9C-101B-9397-08002B2CF9AE}" pid="54" name="FSC#SKEDITIONSLOVLEX@103.510:AttrStrListDocPropInfoZaciatokKonania">
    <vt:lpwstr>konanie nebolo začaté</vt:lpwstr>
  </property>
  <property fmtid="{D5CDD505-2E9C-101B-9397-08002B2CF9AE}" pid="55" name="FSC#SKEDITIONSLOVLEX@103.510:AttrStrListDocPropInfoUzPreberanePP">
    <vt:lpwstr>Smernica (EÚ) 2015/1535 z 9. septembra 2015, ktorou sa stanovuje postup pri poskytovaní informácií v oblasti technických predpisov a pravidiel vzťahujúcich sa na služby informačnej spoločnosti je kodifikovaným znením pôvodnej smernice Európskeho parlament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pre normalizáciu, metrológiu a skúšobníctvo Slovenskej republiky</vt:lpwstr>
  </property>
  <property fmtid="{D5CDD505-2E9C-101B-9397-08002B2CF9AE}" pid="58" name="FSC#SKEDITIONSLOVLEX@103.510:AttrDateDocPropZaciatokPKK">
    <vt:lpwstr>22. 6. 2016</vt:lpwstr>
  </property>
  <property fmtid="{D5CDD505-2E9C-101B-9397-08002B2CF9AE}" pid="59" name="FSC#SKEDITIONSLOVLEX@103.510:AttrDateDocPropUkonceniePKK">
    <vt:lpwstr>28. 7. 2016</vt:lpwstr>
  </property>
  <property fmtid="{D5CDD505-2E9C-101B-9397-08002B2CF9AE}" pid="60" name="FSC#SKEDITIONSLOVLEX@103.510:AttrStrDocPropVplyvRozpocetVS">
    <vt:lpwstr>Pozitívne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Predkladaným návrhom zákona dochádza k úprave správnych poplatkov, zavedeniu nových správnych poplatkov a úprave horných sadzieb pokút, ktoré sú príjmami do rozpočtu verejnej správy. Jedná sa o dve skupiny príjmov, ktorými sú 1. príjmy vo forme e-kolkov, </vt:lpwstr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>Návrh zákona bol v dňoch od 15. júla 2016 do 28. júla 2016 predmetom opätovného predbežného pripomienkového konania, v rámci ktorého Stála pracovná komisia Legislatívnej rady vlády Slovenskej republiky na posudzovanie vybraných vplyvov zaujala k materiálu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264/1999 Z. z. o technických požiadavkách na výrobky a o posudzovaní zhody a o zmene a doplnení niektorých zák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hospodárstva Slovenskej republiky_x000d_
predseda Úradu pre normalizáciu, metrológiu a skúšobníctvo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radca</vt:lpwstr>
  </property>
  <property fmtid="{D5CDD505-2E9C-101B-9397-08002B2CF9AE}" pid="139" name="FSC#SKEDITIONSLOVLEX@103.510:funkciaPredAkuzativ">
    <vt:lpwstr>hlavnému radcovi</vt:lpwstr>
  </property>
  <property fmtid="{D5CDD505-2E9C-101B-9397-08002B2CF9AE}" pid="140" name="FSC#SKEDITIONSLOVLEX@103.510:funkciaPredDativ">
    <vt:lpwstr>hlavného radcu</vt:lpwstr>
  </property>
  <property fmtid="{D5CDD505-2E9C-101B-9397-08002B2CF9AE}" pid="141" name="FSC#SKEDITIONSLOVLEX@103.510:funkciaZodpPred">
    <vt:lpwstr>predseda Úradu pre normalizáciu, metrológiu a skúšobníctvo Slovenskej republiky</vt:lpwstr>
  </property>
  <property fmtid="{D5CDD505-2E9C-101B-9397-08002B2CF9AE}" pid="142" name="FSC#SKEDITIONSLOVLEX@103.510:funkciaZodpPredAkuzativ">
    <vt:lpwstr>predsedovi Úradu pre normalizáciu, metrológiu a skúšobníctvo Slovenskej republiky</vt:lpwstr>
  </property>
  <property fmtid="{D5CDD505-2E9C-101B-9397-08002B2CF9AE}" pid="143" name="FSC#SKEDITIONSLOVLEX@103.510:funkciaZodpPredDativ">
    <vt:lpwstr>predsedu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Pavol Pavlis_x000d_
predseda Úradu pre normalizáciu, 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a&amp;nbsp;dopĺňa zákon č. 264/1999 Z. z. o&amp;nbsp;technických požiadavkách na výrobky a o posudzovaní zhody a&amp;nbsp;o&amp;nbsp;zmene a&amp;nbsp;doplnení niektorých zákonov v&amp;nbsp;znení&amp;nbsp; neskorších predpisov (ďalej len „návrh zákona“</vt:lpwstr>
  </property>
  <property fmtid="{D5CDD505-2E9C-101B-9397-08002B2CF9AE}" pid="150" name="FSC#COOSYSTEM@1.1:Container">
    <vt:lpwstr>COO.2145.1000.3.1551285</vt:lpwstr>
  </property>
  <property fmtid="{D5CDD505-2E9C-101B-9397-08002B2CF9AE}" pid="151" name="FSC#FSCFOLIO@1.1001:docpropproject">
    <vt:lpwstr/>
  </property>
</Properties>
</file>