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2DFA" w:rsidRPr="00F04CCD" w:rsidTr="00781857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781857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781857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781857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781857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F2DFA" w:rsidRPr="00F04CCD" w:rsidTr="00781857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81857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81857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781857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781857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81857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781857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1D2F21" w:rsidP="00781857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81857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781857">
            <w:pPr>
              <w:rPr>
                <w:b/>
              </w:rPr>
            </w:pPr>
          </w:p>
        </w:tc>
      </w:tr>
      <w:tr w:rsidR="009F2DFA" w:rsidRPr="00F04CCD" w:rsidTr="00781857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818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781857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81857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81857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781857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781857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F65D57" w:rsidRDefault="00F65D57" w:rsidP="00F65D57">
            <w:pPr>
              <w:jc w:val="both"/>
            </w:pPr>
            <w:r>
              <w:t xml:space="preserve">Návrh zákona, ktorým sa mení a dopĺňa zákon č. 264/1999 Z. z. o technických požiadavkách na výrobky a o posudzovaní zhody a o zmene a doplnení niektorých zákonov v znení neskorších predpisov </w:t>
            </w:r>
            <w:r w:rsidR="005971F7">
              <w:t xml:space="preserve">(ďalej len „návrh zákona“) </w:t>
            </w:r>
            <w:r>
              <w:t>bude mať vplyv na špecifické odvetvie hospodárstva - výrobcov, splnomocnených zástupcov, dovozcov a distribútorov určených výrobkov pri ich sprístupňovaní na trhu</w:t>
            </w:r>
            <w:r w:rsidR="005971F7">
              <w:t>,</w:t>
            </w:r>
            <w:r>
              <w:t xml:space="preserve"> ako aj na autorizované a notifikované osoby podľa § 11 zákona č. 264/1999 Z. z. o technických požiadavkách na výrobky a o posudzovaní zhody a o zmene a doplnení niektorých zákonov v znení neskorších predpisov. Približný počet výrobcov určených výrobkov </w:t>
            </w:r>
            <w:r w:rsidRPr="00B65721">
              <w:t xml:space="preserve">je </w:t>
            </w:r>
            <w:r w:rsidR="0016665E" w:rsidRPr="00B65721">
              <w:t>87</w:t>
            </w:r>
            <w:r w:rsidRPr="00B65721">
              <w:t>, na</w:t>
            </w:r>
            <w:r>
              <w:t xml:space="preserve"> základe výročných správ slovenských notifikovaných osôb za rok 2015, ktorých zákazníkmi boli slovenskí výrobcovia </w:t>
            </w:r>
            <w:r w:rsidR="005971F7">
              <w:t>určených výrobkov podľa návrhu zákona</w:t>
            </w:r>
            <w:r>
              <w:t xml:space="preserve">. V niektorých prípadoch hospodársky subjekt nemusí osloviť notifikovanú osobu so žiadosťou o posúdenie zhody, ale posúdenie zhody môže vykonať sám, taktiež hospodársky subjekt zo Slovenskej republiky môže osloviť notifikovanú osobu v ktoromkoľvek z ostatných členských štátov Európskej únie, rovnako ako aj hospodárske subjekty z ostatných členských štátov Európskej únie môžu osloviť notifikovanú osobu zo Slovenskej republiky. Vzhľadom na vyššie uvedené ani počet klientov notifikovaných osôb zo Slovenskej republiky nepreukazuje veľkosť celého podnikateľského prostredia v Slovenskej republike v tejto oblasti. Počet výrobcov a splnomocnených zástupcov výrobcov podľa štatistickej klasifikácie ekonomických činností SK NACE </w:t>
            </w:r>
            <w:r w:rsidRPr="00B65721">
              <w:t xml:space="preserve">je </w:t>
            </w:r>
            <w:r w:rsidR="00F919C3" w:rsidRPr="00B65721">
              <w:t>850</w:t>
            </w:r>
            <w:r>
              <w:t>.</w:t>
            </w:r>
          </w:p>
          <w:p w:rsidR="00F65D57" w:rsidRDefault="00F65D57" w:rsidP="00F65D57">
            <w:pPr>
              <w:jc w:val="both"/>
            </w:pPr>
            <w:r>
              <w:t xml:space="preserve">Presný počet splnomocnených zástupcov sa nedá určiť, nakoľko ich splnomocňujú výrobcovia na základe dvojstranného právneho vzťahu podľa súkromného práva.   </w:t>
            </w:r>
          </w:p>
          <w:p w:rsidR="009F2DFA" w:rsidRDefault="00F65D57" w:rsidP="001D2F21">
            <w:pPr>
              <w:jc w:val="both"/>
            </w:pPr>
            <w:r>
              <w:t xml:space="preserve">Počet dovozcov a distribútorov elektrických zariadení nemožno určiť z dôvodu, že túto činnosť možno vykonávať na základe voľného živnostenského oprávnenia (kúpa tovaru na účely jeho predaja konečnému spotrebiteľovi (maloobchod) alebo iným prevádzkovateľom živnosti (veľkoobchod), z takto uvedeného predmetu činnosti nie je možné určiť, či ide alebo nejde o sprístupňovanie </w:t>
            </w:r>
            <w:r w:rsidR="005971F7">
              <w:t>určených výrobkov</w:t>
            </w:r>
            <w:r>
              <w:t xml:space="preserve"> na trhu v zmysle návrhu </w:t>
            </w:r>
            <w:r w:rsidRPr="00F65D57">
              <w:t>zákona</w:t>
            </w:r>
            <w:r>
              <w:t>.</w:t>
            </w:r>
          </w:p>
          <w:p w:rsidR="00236C9A" w:rsidRPr="001D2F21" w:rsidRDefault="00236C9A" w:rsidP="001D2F21">
            <w:pPr>
              <w:jc w:val="both"/>
            </w:pPr>
            <w:r w:rsidRPr="00236C9A">
              <w:t>Klasifikácie produkcie, všeobecne záväzných právnych predpisov ustanovujúcich kategórie určených výrobkov je asi 27. Návrhom zákon</w:t>
            </w:r>
            <w:r w:rsidR="00024A47">
              <w:t>a bude ovplyvnených približne 20</w:t>
            </w:r>
            <w:r w:rsidRPr="00236C9A">
              <w:t xml:space="preserve"> autorizovaných a notifikovaných osôb.</w:t>
            </w:r>
          </w:p>
        </w:tc>
      </w:tr>
      <w:tr w:rsidR="009F2DFA" w:rsidRPr="00F04CCD" w:rsidTr="00781857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042C66" w:rsidRDefault="002B1108" w:rsidP="007818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781857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81857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81857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781857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781857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781857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65D57" w:rsidRDefault="00781857" w:rsidP="00F15F5D">
            <w:pPr>
              <w:jc w:val="both"/>
            </w:pPr>
            <w:r w:rsidRPr="00645E20">
              <w:rPr>
                <w:rStyle w:val="Textzstupnhosymbolu"/>
                <w:color w:val="000000"/>
              </w:rPr>
              <w:t>Návrh zákona má precizovať ustanovenia zákona o právach a povinnostiach hospodárskych subjektov, autorizácii, notifikácii, právach a povinnostiach autorizovaných a notifikovaných osôb, značkách a označení CE, postupoch pri výmene informácií medzi zainteresovanými stranami</w:t>
            </w:r>
            <w:r>
              <w:rPr>
                <w:rStyle w:val="Textzstupnhosymbolu"/>
                <w:color w:val="000000"/>
              </w:rPr>
              <w:t xml:space="preserve"> a </w:t>
            </w:r>
            <w:r w:rsidRPr="00CB61BF">
              <w:rPr>
                <w:rStyle w:val="Textzstupnhosymbolu"/>
                <w:color w:val="000000"/>
              </w:rPr>
              <w:t xml:space="preserve">zavádza nové postupy orgánov dohľadu, ktoré vyplývajú z prijatej </w:t>
            </w:r>
            <w:r>
              <w:rPr>
                <w:rStyle w:val="Textzstupnhosymbolu"/>
                <w:color w:val="000000"/>
              </w:rPr>
              <w:t xml:space="preserve">európskej </w:t>
            </w:r>
            <w:r w:rsidRPr="00CB61BF">
              <w:rPr>
                <w:rStyle w:val="Textzstupnhosymbolu"/>
                <w:color w:val="000000"/>
              </w:rPr>
              <w:t xml:space="preserve">legislatívy a nie sú návrhom zákona žiadnym spôsobom rozšírené nad rámec práva </w:t>
            </w:r>
            <w:r>
              <w:rPr>
                <w:rStyle w:val="Textzstupnhosymbolu"/>
                <w:color w:val="000000"/>
              </w:rPr>
              <w:t>Európskej únie</w:t>
            </w:r>
            <w:r w:rsidRPr="00CB61BF">
              <w:rPr>
                <w:rStyle w:val="Textzstupnhosymbolu"/>
                <w:color w:val="000000"/>
              </w:rPr>
              <w:t xml:space="preserve">. </w:t>
            </w:r>
            <w:r>
              <w:t>Predkladaný návrh zákona je v súlade s p</w:t>
            </w:r>
            <w:r w:rsidR="00F65D57" w:rsidRPr="00F65D57">
              <w:t>rincípom minimalizácie administratívnej záťaže a súvisiacich nákladov regulácie.</w:t>
            </w:r>
            <w:r w:rsidR="00C32C3B">
              <w:t xml:space="preserve"> Návrh zákona predstavuje novelu zákona č. 264/1999 Z. z., ktorá </w:t>
            </w:r>
            <w:r w:rsidR="00C32C3B" w:rsidRPr="00781857">
              <w:t>sa predkladá v znení v akom bola predložená vláde Slovenskej republiky a Národnej rade Slovenskej republiky počas legislatívneho procesu v minulom roku.</w:t>
            </w:r>
            <w:r w:rsidR="00F65D57" w:rsidRPr="00781857">
              <w:t xml:space="preserve"> Pri tvorbe </w:t>
            </w:r>
            <w:r w:rsidR="00C32C3B" w:rsidRPr="00781857">
              <w:t>právnych</w:t>
            </w:r>
            <w:r w:rsidR="00F65D57" w:rsidRPr="00781857">
              <w:t xml:space="preserve"> akt</w:t>
            </w:r>
            <w:r w:rsidR="00C32C3B" w:rsidRPr="00781857">
              <w:t>ov</w:t>
            </w:r>
            <w:r w:rsidR="00F65D57" w:rsidRPr="00781857">
              <w:t xml:space="preserve"> Európskej únie prebehli konzultácie so zástupcami priemyslu na európskej úrovni ako aj posúdenie zjednodušených režimov pre malé a stredné podniky a najmä </w:t>
            </w:r>
            <w:proofErr w:type="spellStart"/>
            <w:r w:rsidR="00F65D57" w:rsidRPr="00781857">
              <w:t>mikropodniky</w:t>
            </w:r>
            <w:proofErr w:type="spellEnd"/>
            <w:r w:rsidR="00F65D57" w:rsidRPr="00781857">
              <w:t xml:space="preserve"> v súlade s iniciatívou „</w:t>
            </w:r>
            <w:proofErr w:type="spellStart"/>
            <w:r w:rsidR="00F65D57" w:rsidRPr="00781857">
              <w:t>Small</w:t>
            </w:r>
            <w:proofErr w:type="spellEnd"/>
            <w:r w:rsidR="00F65D57" w:rsidRPr="00781857">
              <w:t xml:space="preserve"> </w:t>
            </w:r>
            <w:proofErr w:type="spellStart"/>
            <w:r w:rsidR="00F65D57" w:rsidRPr="00781857">
              <w:t>Business</w:t>
            </w:r>
            <w:proofErr w:type="spellEnd"/>
            <w:r w:rsidR="00F65D57" w:rsidRPr="00781857">
              <w:t xml:space="preserve"> </w:t>
            </w:r>
            <w:proofErr w:type="spellStart"/>
            <w:r w:rsidR="00F65D57" w:rsidRPr="00781857">
              <w:t>Act</w:t>
            </w:r>
            <w:proofErr w:type="spellEnd"/>
            <w:r w:rsidR="00F65D57" w:rsidRPr="00781857">
              <w:t xml:space="preserve">“ pre Európu pred samotným legislatívnym procesom vedúcim k prijatiu </w:t>
            </w:r>
            <w:r w:rsidR="00DE17D8" w:rsidRPr="00781857">
              <w:t xml:space="preserve">právnych aktov </w:t>
            </w:r>
            <w:r w:rsidR="00F65D57" w:rsidRPr="00781857">
              <w:t>Európskej únie</w:t>
            </w:r>
            <w:r w:rsidRPr="00781857">
              <w:t xml:space="preserve">. </w:t>
            </w:r>
            <w:r>
              <w:t>P</w:t>
            </w:r>
            <w:r w:rsidRPr="00781857">
              <w:t>redmetný materiál bol v</w:t>
            </w:r>
            <w:r w:rsidR="00F15F5D">
              <w:t xml:space="preserve"> Slovenskej republike prerokovaný v rámci </w:t>
            </w:r>
            <w:r w:rsidRPr="00781857">
              <w:t>legislatívn</w:t>
            </w:r>
            <w:r w:rsidR="00F15F5D">
              <w:t>eho</w:t>
            </w:r>
            <w:r w:rsidRPr="00781857">
              <w:t xml:space="preserve"> proces</w:t>
            </w:r>
            <w:r w:rsidR="00F15F5D">
              <w:t>u</w:t>
            </w:r>
            <w:r w:rsidRPr="00781857">
              <w:t xml:space="preserve"> už v roku 2015, </w:t>
            </w:r>
            <w:r w:rsidR="00F15F5D">
              <w:t>čím bola daná možnosť vyjadrenia sa subjektom verejnej ako aj súkromnej sféry k danému návrhu</w:t>
            </w:r>
            <w:r w:rsidRPr="00781857">
              <w:t>.</w:t>
            </w:r>
          </w:p>
        </w:tc>
      </w:tr>
      <w:tr w:rsidR="009F2DFA" w:rsidRPr="00F04CCD" w:rsidTr="00781857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818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781857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81857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81857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781857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</w:t>
            </w:r>
            <w:r w:rsidRPr="00F04CCD">
              <w:rPr>
                <w:i/>
              </w:rPr>
              <w:lastRenderedPageBreak/>
              <w:t xml:space="preserve">vyčíslite ich. Uveďte tiež spôsob ich výpočtu. </w:t>
            </w:r>
          </w:p>
        </w:tc>
      </w:tr>
      <w:tr w:rsidR="009F2DFA" w:rsidRPr="00F04CCD" w:rsidTr="00781857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B65721" w:rsidP="00781857">
            <w:pPr>
              <w:jc w:val="both"/>
              <w:rPr>
                <w:b/>
                <w:i/>
              </w:rPr>
            </w:pPr>
            <w:r w:rsidRPr="00B65721">
              <w:lastRenderedPageBreak/>
              <w:t xml:space="preserve">Predkladaným návrhom zákona dochádza k zavedeniu nových </w:t>
            </w:r>
            <w:r>
              <w:t xml:space="preserve">správnych </w:t>
            </w:r>
            <w:r w:rsidRPr="0020665C">
              <w:t>poplatk</w:t>
            </w:r>
            <w:r>
              <w:t>ov</w:t>
            </w:r>
            <w:r w:rsidR="00596159">
              <w:t>,</w:t>
            </w:r>
            <w:r w:rsidRPr="0020665C">
              <w:t xml:space="preserve"> </w:t>
            </w:r>
            <w:r>
              <w:t>ktorým</w:t>
            </w:r>
            <w:r w:rsidR="00596159">
              <w:t>i</w:t>
            </w:r>
            <w:r>
              <w:t xml:space="preserve"> dochádza k zvýšeniu </w:t>
            </w:r>
            <w:r w:rsidR="00596159">
              <w:t xml:space="preserve">priamych </w:t>
            </w:r>
            <w:r>
              <w:t>finančných nákladov pre autorizované a notifikované osoby. Nový poplatok spojený s</w:t>
            </w:r>
            <w:r w:rsidR="00CC4607">
              <w:t>o</w:t>
            </w:r>
            <w:r>
              <w:t xml:space="preserve"> zmenami </w:t>
            </w:r>
            <w:r w:rsidR="00596159" w:rsidRPr="0020665C">
              <w:t xml:space="preserve">podľa § 11 ods. </w:t>
            </w:r>
            <w:r w:rsidR="006E6A74">
              <w:t>15</w:t>
            </w:r>
            <w:r w:rsidR="00596159">
              <w:t xml:space="preserve"> návrhu zákona </w:t>
            </w:r>
            <w:r>
              <w:t>je ustanovený na 33 EUR a frekvencia jeho platenia sa odvíja od frekvencie zmien</w:t>
            </w:r>
            <w:r w:rsidR="006E6A74">
              <w:t xml:space="preserve"> vedúcich k zúženiu rozsahu autorizácie</w:t>
            </w:r>
            <w:r>
              <w:t>, ktoré autorizovaná a notifikovaná osoba vykonáva vo svojej autorizácii a notifikácii, podľa predchádzajúcich skúseností je to frekvencia od žiadnej zmeny počas 5 rokov až po zhruba jednu zmenu za rok.</w:t>
            </w:r>
            <w:r w:rsidR="00596159">
              <w:t xml:space="preserve"> Rovnako je to aj pri novom zavádzanom jednorazovom správnom poplatku vo výške 1000 € pokiaľ ide o žiadosť o autorizáciu nového subjektu žiadajúceho o autorizáciu a notifikáciu, ktorý</w:t>
            </w:r>
            <w:r w:rsidR="006E6A74">
              <w:t xml:space="preserve"> preukáže svoju spôsobilosť </w:t>
            </w:r>
            <w:r w:rsidR="00596159">
              <w:t>rozsahu</w:t>
            </w:r>
            <w:r w:rsidR="006E6A74">
              <w:t xml:space="preserve"> v plnom rozsahu alebo čiastočne</w:t>
            </w:r>
            <w:r w:rsidR="00596159">
              <w:t xml:space="preserve"> osvedčením o akreditácii. V prípade nového subjektu žiadajúceho o autorizáciu a notifikáciu, ktorý </w:t>
            </w:r>
            <w:r w:rsidR="006E6A74">
              <w:t>schopný preukázať  ani časť svojej</w:t>
            </w:r>
            <w:r w:rsidR="00596159">
              <w:t xml:space="preserve"> spôsob</w:t>
            </w:r>
            <w:r w:rsidR="006E6A74">
              <w:t>ilosti p</w:t>
            </w:r>
            <w:r w:rsidR="00596159">
              <w:t xml:space="preserve">rostredníctvom osvedčenia o akreditácii, je </w:t>
            </w:r>
            <w:r w:rsidR="006E6A74">
              <w:t xml:space="preserve">povinný uhradiť </w:t>
            </w:r>
            <w:r w:rsidR="00596159">
              <w:t xml:space="preserve">jednorazový poplatok vo výške </w:t>
            </w:r>
            <w:r w:rsidR="006E6A74">
              <w:t>5000 </w:t>
            </w:r>
            <w:r w:rsidR="00596159">
              <w:t xml:space="preserve">€. Správny poplatok </w:t>
            </w:r>
            <w:r w:rsidR="00596159" w:rsidRPr="0020665C">
              <w:t>za zápis zmeny</w:t>
            </w:r>
            <w:r w:rsidR="006E6A74">
              <w:t xml:space="preserve"> vedúcej k rozšíreniu rozsahu autoriz</w:t>
            </w:r>
            <w:r w:rsidR="00685B77">
              <w:t>á</w:t>
            </w:r>
            <w:r w:rsidR="006E6A74">
              <w:t>cie</w:t>
            </w:r>
            <w:r w:rsidR="00CC4607">
              <w:t xml:space="preserve"> ako aj v prípadoch žiadosti o predlženie končiacej autorizácie</w:t>
            </w:r>
            <w:r w:rsidR="006E6A74">
              <w:t xml:space="preserve"> sa ustanovuje vo výške 330 €. </w:t>
            </w:r>
          </w:p>
        </w:tc>
      </w:tr>
      <w:tr w:rsidR="009F2DFA" w:rsidRPr="00F04CCD" w:rsidTr="00781857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81857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:rsidR="009F2DFA" w:rsidRPr="00F04CCD" w:rsidRDefault="009F2DFA" w:rsidP="00B31A8E">
            <w:pPr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781857">
        <w:tc>
          <w:tcPr>
            <w:tcW w:w="9212" w:type="dxa"/>
            <w:tcBorders>
              <w:bottom w:val="single" w:sz="4" w:space="0" w:color="auto"/>
            </w:tcBorders>
          </w:tcPr>
          <w:p w:rsidR="009F2DFA" w:rsidRPr="00C32C3B" w:rsidRDefault="00C32C3B" w:rsidP="00C32C3B">
            <w:pPr>
              <w:jc w:val="both"/>
            </w:pPr>
            <w:r w:rsidRPr="00C32C3B">
              <w:t xml:space="preserve">Predkladaný návrh </w:t>
            </w:r>
            <w:r w:rsidR="00024A47">
              <w:t>zákona</w:t>
            </w:r>
            <w:r w:rsidRPr="00C32C3B">
              <w:t xml:space="preserve"> nevyžaduje dodatočné náklady na nákup tovarov alebo služieb, ani nezvyšuje náklady súvisiace so zamestnávaním.</w:t>
            </w:r>
            <w:r>
              <w:t xml:space="preserve"> </w:t>
            </w:r>
          </w:p>
          <w:p w:rsidR="009F2DFA" w:rsidRPr="00F04CCD" w:rsidRDefault="009F2DFA" w:rsidP="00781857">
            <w:pPr>
              <w:rPr>
                <w:b/>
                <w:i/>
              </w:rPr>
            </w:pPr>
          </w:p>
          <w:p w:rsidR="009F2DFA" w:rsidRPr="00F04CCD" w:rsidRDefault="009F2DFA" w:rsidP="00781857">
            <w:pPr>
              <w:rPr>
                <w:b/>
                <w:i/>
              </w:rPr>
            </w:pPr>
          </w:p>
        </w:tc>
      </w:tr>
      <w:tr w:rsidR="009F2DFA" w:rsidRPr="00F04CCD" w:rsidTr="00781857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81857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781857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781857">
        <w:tc>
          <w:tcPr>
            <w:tcW w:w="9212" w:type="dxa"/>
            <w:tcBorders>
              <w:bottom w:val="single" w:sz="4" w:space="0" w:color="auto"/>
            </w:tcBorders>
          </w:tcPr>
          <w:p w:rsidR="00C32C3B" w:rsidRPr="00C32C3B" w:rsidRDefault="00C32C3B" w:rsidP="00C32C3B">
            <w:pPr>
              <w:jc w:val="both"/>
            </w:pPr>
            <w:r w:rsidRPr="002F3D1B">
              <w:t xml:space="preserve">Predkladaným návrhom </w:t>
            </w:r>
            <w:r w:rsidR="002F3D1B">
              <w:t xml:space="preserve">zákona </w:t>
            </w:r>
            <w:r w:rsidRPr="0020665C">
              <w:t>dochádza k zavedeniu nových administratívnych informačných povinností, konkrétne povinnosti výrobcov</w:t>
            </w:r>
            <w:r w:rsidRPr="00C32C3B">
              <w:t xml:space="preserve">, splnomocnených zástupcov, dovozcov a distribútorov </w:t>
            </w:r>
            <w:r w:rsidR="0020665C">
              <w:t>určených výrobkov</w:t>
            </w:r>
            <w:r w:rsidRPr="00C32C3B">
              <w:t xml:space="preserve">, viesť zoznam hospodárskych subjektov, ktoré im dodali </w:t>
            </w:r>
            <w:r w:rsidR="0020665C">
              <w:t>určené výrobky</w:t>
            </w:r>
            <w:r w:rsidRPr="00C32C3B">
              <w:t xml:space="preserve">, alebo ktorým </w:t>
            </w:r>
            <w:r w:rsidR="0020665C">
              <w:t>určené výrobky</w:t>
            </w:r>
            <w:r w:rsidRPr="00C32C3B">
              <w:t xml:space="preserve"> dodali oni sami najmenej počas desiatich rokov odo dňa dodania týchto určených výrobkov, uchovávať kópiu EÚ vyhlásenia o zhode, bezodkladne sprístupniť všetky informácie a dokumentáciu k určenému výrobku na žiadosť orgánu dohľadu, ďalej informovať výrobcu, orgán dohľadu a orgán dohľadu členského štátu o tom, že určený výrobok predstavuje riziko a uviesť o ňom podrobnosti, poskytnúť súčinnosť orgánu dohľadu pri výkone dohľadu nad trhom. Hospodárske subjekty sú ďalej povinné prijať nevyhnutné nápravné opatrenia v prípade zistenia nezhody určeného výrobku s návrhom </w:t>
            </w:r>
            <w:r w:rsidR="0020665C">
              <w:t xml:space="preserve">zákona prípadne s konkrétnym </w:t>
            </w:r>
            <w:r w:rsidRPr="00C32C3B">
              <w:t>nariaden</w:t>
            </w:r>
            <w:r w:rsidR="0020665C">
              <w:t>ím</w:t>
            </w:r>
            <w:r w:rsidRPr="00C32C3B">
              <w:t xml:space="preserve"> vlády Slovenskej republiky. </w:t>
            </w:r>
          </w:p>
          <w:p w:rsidR="00C32C3B" w:rsidRPr="00C32C3B" w:rsidRDefault="00C32C3B" w:rsidP="00C32C3B">
            <w:pPr>
              <w:jc w:val="both"/>
            </w:pPr>
            <w:r w:rsidRPr="00C32C3B">
              <w:t xml:space="preserve">Návrh </w:t>
            </w:r>
            <w:r w:rsidR="008633E8">
              <w:t>zákona</w:t>
            </w:r>
            <w:r w:rsidRPr="00C32C3B">
              <w:t xml:space="preserve"> rozširuje povinností výrobcu na dovozcu alebo na distribútora v prípade ak uvedie určený výrobok na trh pod svojím obchodným menom</w:t>
            </w:r>
            <w:r w:rsidR="008633E8">
              <w:t xml:space="preserve"> alebo ochrannou známkou</w:t>
            </w:r>
            <w:r w:rsidRPr="00C32C3B">
              <w:t>.</w:t>
            </w:r>
          </w:p>
          <w:p w:rsidR="00C32C3B" w:rsidRPr="00C32C3B" w:rsidRDefault="00C32C3B" w:rsidP="00C32C3B">
            <w:pPr>
              <w:jc w:val="both"/>
            </w:pPr>
            <w:r w:rsidRPr="00C32C3B">
              <w:t xml:space="preserve">Návrh </w:t>
            </w:r>
            <w:r w:rsidR="008633E8">
              <w:t>zákona</w:t>
            </w:r>
            <w:r w:rsidRPr="00C32C3B">
              <w:t xml:space="preserve"> nepredpisuje formu plnenia uvedených informačných a evidenčných povinností (uchovávanie a dokumentácia identifikačných údajov o hospodárskom subjekte), tieto je možné plniť ako v papierovej, tak aj elektronickej podobe. Plnenie týchto povinností neprináša dodatočné priame alebo nepriame náklady, nakoľko sa dajú splniť súčasným bežným kancelárskym vybavením hospodárskeho subjektu.</w:t>
            </w:r>
          </w:p>
          <w:p w:rsidR="009F2DFA" w:rsidRDefault="00C32C3B" w:rsidP="00C32C3B">
            <w:pPr>
              <w:jc w:val="both"/>
            </w:pPr>
            <w:r w:rsidRPr="00C32C3B">
              <w:t xml:space="preserve">Administratívne náklady vypočítané podľa metodiky predstavujú sumu </w:t>
            </w:r>
            <w:r w:rsidR="00841957">
              <w:t>39</w:t>
            </w:r>
            <w:r w:rsidRPr="00C32C3B">
              <w:t xml:space="preserve"> EUR na 1 podnikateľa. Administratívne náklady na čiastočne vyčíslené celé podnikateľské prostredie v Slovenskej republike predstavujú približnú sumu </w:t>
            </w:r>
            <w:r w:rsidRPr="00B65721">
              <w:t xml:space="preserve">najmenej </w:t>
            </w:r>
            <w:r w:rsidR="00841957">
              <w:t>33 150</w:t>
            </w:r>
            <w:r w:rsidR="00841957" w:rsidRPr="00B65721">
              <w:t xml:space="preserve"> </w:t>
            </w:r>
            <w:r w:rsidRPr="00B65721">
              <w:t>EUR</w:t>
            </w:r>
            <w:r w:rsidRPr="00C32C3B">
              <w:t>.</w:t>
            </w:r>
          </w:p>
          <w:p w:rsidR="00AF3534" w:rsidRDefault="0020665C" w:rsidP="00B65721">
            <w:pPr>
              <w:jc w:val="both"/>
            </w:pPr>
            <w:r w:rsidRPr="0020665C">
              <w:t xml:space="preserve">Čo sa týka autorizovaných a notifikovaných osôb, môžu im vzniknúť administratívne náklady spojené s podrobnejším preukazovaním ich odbornosti pri rozhodovaní o autorizácii (§ 11 ods. 4) a spojené s informačnými povinnosťami voči Úradu pre normalizáciu, metrológiu a skúšobníctvo Slovenskej republiky (§ 11b ods. </w:t>
            </w:r>
            <w:r w:rsidR="008633E8">
              <w:t>11</w:t>
            </w:r>
            <w:r w:rsidR="00596159">
              <w:t>). Ide o náklady súvisiace s plnením regulácie, konkrétne administratívne náklady, ktorých výšku nie je možné presne určiť. Na všetky výrobky vrátane určených výrobkov sa vzťahuje označovanie podľa § 12 zákona č. 250/2007 Z. z. o ochrane spotrebiteľa a o zmene zákona Slovenskej národnej rady č. 372/1990 Zb. o priestupkoch v znení neskorších predpisov, pričom návrh zákona uvedený predpis dopĺňa a precizuje v oblasti určených výrobkov</w:t>
            </w:r>
            <w:r w:rsidR="00AF3534">
              <w:t>.</w:t>
            </w:r>
          </w:p>
          <w:p w:rsidR="00AF3534" w:rsidRDefault="0084531B" w:rsidP="00AF3534">
            <w:pPr>
              <w:jc w:val="both"/>
            </w:pPr>
            <w:r>
              <w:t xml:space="preserve"> </w:t>
            </w:r>
            <w:r w:rsidR="00AF3534">
              <w:t>Návrh zákona môže mať negatívny vplyv na subjekty žiadajúce o autorizáciu a notifikáciu z dôvodu predĺženia lehoty z 30 dní na šesť mesiacov na vydanie rozhodnutia o autorizácii úradom. Tento vplyv však nie je možné kvantifikovať.</w:t>
            </w:r>
          </w:p>
          <w:p w:rsidR="000E4311" w:rsidRDefault="00AF3534" w:rsidP="00AF3534">
            <w:pPr>
              <w:jc w:val="both"/>
            </w:pPr>
            <w:r>
              <w:t>Prípad keď subjekt žiadajúci o autorizáciu a notifikáciu nespĺňa požiadavky podľa § 11 ods. 4 predstavuje pozitívny vplyv na podnikateľské prostredie z dôvodu, že dotknutým subjektom umožňuje odstrániť nedostatky plnenia požiadaviek, čo bolo predchádzajúcou právnou úpravou riešené neudelením autorizácie.</w:t>
            </w:r>
          </w:p>
          <w:p w:rsidR="00094419" w:rsidRPr="00037AE9" w:rsidRDefault="00094419" w:rsidP="00AF3534">
            <w:pPr>
              <w:jc w:val="both"/>
            </w:pPr>
            <w:r w:rsidRPr="00094419">
              <w:t xml:space="preserve">Náklady, ktoré preukázateľne vzniknú úradu v súvislosti s výkonom kontroly činnosti autorizovanej osoby súvisiacej s postupmi posudzovania zhody, pri ktorých je autorizovaná osoba zapojená do fázy kontroly výroby pri ktorej je potrebné vstupovať do priestorov, kde sa výrobok navrhuje, výrobných priestorov, priestorov na </w:t>
            </w:r>
            <w:r w:rsidRPr="00094419">
              <w:lastRenderedPageBreak/>
              <w:t>výkon kontrol a skúšok, ako aj skladovacích priestorov výrobcu, nie je možné zahrnúť do správneho poplatku z dôvodu, že nie všetky autorizované osoby majú v rozsahu autorizácie postupy posudzovania zhody, pri ktorých je autorizovaná osoba zapojená do fázy kontroly výroby. Keďže autorizované /notifikované osoby môžu vykonávať činnosti v rámci celej Európskej únie a výrobcovia sú v prevažnej miere z tretích krajín (Čína, Turecko, Kórea a pod.), môžu cestovné náklady predstavovať značnú sumu, ktorá nemôže byť hradená z kapitoly úradu.</w:t>
            </w:r>
          </w:p>
        </w:tc>
      </w:tr>
      <w:tr w:rsidR="009F2DFA" w:rsidRPr="00F04CCD" w:rsidTr="00781857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81857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Pr="00F04CCD" w:rsidRDefault="009F2DFA" w:rsidP="00781857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9F2DFA" w:rsidRPr="00F04CCD" w:rsidTr="00781857">
              <w:tc>
                <w:tcPr>
                  <w:tcW w:w="2993" w:type="dxa"/>
                </w:tcPr>
                <w:p w:rsidR="009F2DFA" w:rsidRPr="00F04CCD" w:rsidRDefault="00CC4607" w:rsidP="00781857">
                  <w:pPr>
                    <w:rPr>
                      <w:i/>
                    </w:rPr>
                  </w:pPr>
                  <w:r>
                    <w:rPr>
                      <w:i/>
                    </w:rPr>
                    <w:t>Správny poplatok 33 EUR</w:t>
                  </w:r>
                </w:p>
              </w:tc>
              <w:tc>
                <w:tcPr>
                  <w:tcW w:w="2994" w:type="dxa"/>
                </w:tcPr>
                <w:p w:rsidR="009F2DFA" w:rsidRDefault="009F2DFA" w:rsidP="0078185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  <w:p w:rsidR="008A2711" w:rsidRPr="00F04CCD" w:rsidRDefault="008A2711" w:rsidP="0078185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9F2DFA" w:rsidRPr="00F04CCD" w:rsidRDefault="009F2DFA" w:rsidP="0078185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781857">
              <w:tc>
                <w:tcPr>
                  <w:tcW w:w="2993" w:type="dxa"/>
                </w:tcPr>
                <w:p w:rsidR="009F2DFA" w:rsidRPr="00F04CCD" w:rsidRDefault="009F2DFA" w:rsidP="00781857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A82B40" w:rsidP="0078185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3,3</w:t>
                  </w:r>
                  <w:r w:rsidR="004E2867">
                    <w:rPr>
                      <w:i/>
                    </w:rPr>
                    <w:t>0</w:t>
                  </w:r>
                  <w:r>
                    <w:rPr>
                      <w:i/>
                    </w:rPr>
                    <w:t xml:space="preserve"> EUR</w:t>
                  </w:r>
                </w:p>
              </w:tc>
              <w:tc>
                <w:tcPr>
                  <w:tcW w:w="2994" w:type="dxa"/>
                </w:tcPr>
                <w:p w:rsidR="009F2DFA" w:rsidRPr="00F04CCD" w:rsidRDefault="00A82B40" w:rsidP="00C132D0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66 EUR</w:t>
                  </w:r>
                </w:p>
              </w:tc>
            </w:tr>
            <w:tr w:rsidR="009F2DFA" w:rsidRPr="00F04CCD" w:rsidTr="00781857">
              <w:tc>
                <w:tcPr>
                  <w:tcW w:w="2993" w:type="dxa"/>
                </w:tcPr>
                <w:p w:rsidR="009F2DFA" w:rsidRPr="00F04CCD" w:rsidRDefault="009F2DFA" w:rsidP="00781857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8185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8185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81857">
              <w:tc>
                <w:tcPr>
                  <w:tcW w:w="2993" w:type="dxa"/>
                </w:tcPr>
                <w:p w:rsidR="009F2DFA" w:rsidRPr="00F04CCD" w:rsidRDefault="009F2DFA" w:rsidP="00781857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AC5558" w:rsidP="0078185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39</w:t>
                  </w:r>
                  <w:r w:rsidR="008633E8">
                    <w:rPr>
                      <w:i/>
                    </w:rPr>
                    <w:t xml:space="preserve"> EUR</w:t>
                  </w:r>
                </w:p>
              </w:tc>
              <w:tc>
                <w:tcPr>
                  <w:tcW w:w="2994" w:type="dxa"/>
                </w:tcPr>
                <w:p w:rsidR="009F2DFA" w:rsidRPr="00F04CCD" w:rsidRDefault="00AC5558" w:rsidP="0078185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33 150</w:t>
                  </w:r>
                  <w:r w:rsidRPr="008633E8">
                    <w:rPr>
                      <w:i/>
                    </w:rPr>
                    <w:t xml:space="preserve"> </w:t>
                  </w:r>
                  <w:r w:rsidR="008633E8" w:rsidRPr="008633E8">
                    <w:rPr>
                      <w:i/>
                    </w:rPr>
                    <w:t>EUR</w:t>
                  </w:r>
                </w:p>
              </w:tc>
            </w:tr>
            <w:tr w:rsidR="009F2DFA" w:rsidRPr="00F04CCD" w:rsidTr="00781857">
              <w:tc>
                <w:tcPr>
                  <w:tcW w:w="2993" w:type="dxa"/>
                </w:tcPr>
                <w:p w:rsidR="009F2DFA" w:rsidRPr="00F04CCD" w:rsidRDefault="009F2DFA" w:rsidP="00781857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F2DFA" w:rsidRPr="008633E8" w:rsidRDefault="00AC5558" w:rsidP="00AC555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42</w:t>
                  </w:r>
                  <w:r w:rsidR="008633E8" w:rsidRPr="008633E8">
                    <w:rPr>
                      <w:b/>
                      <w:i/>
                    </w:rPr>
                    <w:t>,</w:t>
                  </w:r>
                  <w:r>
                    <w:rPr>
                      <w:b/>
                      <w:i/>
                    </w:rPr>
                    <w:t>30</w:t>
                  </w:r>
                  <w:r w:rsidRPr="008633E8">
                    <w:rPr>
                      <w:b/>
                      <w:i/>
                    </w:rPr>
                    <w:t xml:space="preserve"> </w:t>
                  </w:r>
                  <w:r w:rsidR="008633E8" w:rsidRPr="008633E8">
                    <w:rPr>
                      <w:b/>
                      <w:i/>
                    </w:rPr>
                    <w:t>EUR</w:t>
                  </w:r>
                </w:p>
              </w:tc>
              <w:tc>
                <w:tcPr>
                  <w:tcW w:w="2994" w:type="dxa"/>
                </w:tcPr>
                <w:p w:rsidR="009F2DFA" w:rsidRPr="00F04CCD" w:rsidRDefault="00AC5558" w:rsidP="003D3C08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33</w:t>
                  </w:r>
                  <w:r w:rsidR="003D3C08">
                    <w:rPr>
                      <w:b/>
                      <w:i/>
                    </w:rPr>
                    <w:t> 156,60</w:t>
                  </w:r>
                  <w:r w:rsidRPr="008633E8">
                    <w:rPr>
                      <w:b/>
                      <w:i/>
                    </w:rPr>
                    <w:t xml:space="preserve"> </w:t>
                  </w:r>
                  <w:r w:rsidR="008633E8" w:rsidRPr="008633E8">
                    <w:rPr>
                      <w:b/>
                      <w:i/>
                    </w:rPr>
                    <w:t>EUR</w:t>
                  </w:r>
                </w:p>
              </w:tc>
            </w:tr>
          </w:tbl>
          <w:p w:rsidR="008A2711" w:rsidRDefault="008A2711" w:rsidP="00781857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8A2711" w:rsidRPr="00F04CCD" w:rsidTr="00781857">
              <w:tc>
                <w:tcPr>
                  <w:tcW w:w="2993" w:type="dxa"/>
                </w:tcPr>
                <w:p w:rsidR="008A2711" w:rsidRPr="00F04CCD" w:rsidRDefault="00CC4607" w:rsidP="00781857">
                  <w:pPr>
                    <w:rPr>
                      <w:i/>
                    </w:rPr>
                  </w:pPr>
                  <w:r>
                    <w:rPr>
                      <w:i/>
                    </w:rPr>
                    <w:t>Správny poplatok 330 EUR</w:t>
                  </w:r>
                </w:p>
              </w:tc>
              <w:tc>
                <w:tcPr>
                  <w:tcW w:w="2994" w:type="dxa"/>
                </w:tcPr>
                <w:p w:rsidR="008A2711" w:rsidRDefault="008A2711" w:rsidP="0078185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  <w:p w:rsidR="008A2711" w:rsidRPr="00F04CCD" w:rsidRDefault="008A2711" w:rsidP="0078185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8A2711" w:rsidRPr="00F04CCD" w:rsidRDefault="008A2711" w:rsidP="0078185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8A2711" w:rsidRPr="00F04CCD" w:rsidTr="00781857">
              <w:tc>
                <w:tcPr>
                  <w:tcW w:w="2993" w:type="dxa"/>
                </w:tcPr>
                <w:p w:rsidR="008A2711" w:rsidRPr="00F04CCD" w:rsidRDefault="008A2711" w:rsidP="00781857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8A2711" w:rsidRPr="00F04CCD" w:rsidRDefault="00217C38" w:rsidP="004B5C6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33 EUR</w:t>
                  </w:r>
                </w:p>
              </w:tc>
              <w:tc>
                <w:tcPr>
                  <w:tcW w:w="2994" w:type="dxa"/>
                </w:tcPr>
                <w:p w:rsidR="008A2711" w:rsidRPr="00F04CCD" w:rsidRDefault="00217C38" w:rsidP="0078185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66</w:t>
                  </w:r>
                  <w:r w:rsidR="00C132D0">
                    <w:rPr>
                      <w:i/>
                    </w:rPr>
                    <w:t xml:space="preserve">0 </w:t>
                  </w:r>
                  <w:r>
                    <w:rPr>
                      <w:i/>
                    </w:rPr>
                    <w:t>EUR</w:t>
                  </w:r>
                </w:p>
              </w:tc>
            </w:tr>
            <w:tr w:rsidR="008A2711" w:rsidRPr="00F04CCD" w:rsidTr="00781857">
              <w:tc>
                <w:tcPr>
                  <w:tcW w:w="2993" w:type="dxa"/>
                </w:tcPr>
                <w:p w:rsidR="008A2711" w:rsidRPr="00F04CCD" w:rsidRDefault="008A2711" w:rsidP="00781857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8A2711" w:rsidRPr="00F04CCD" w:rsidRDefault="008A2711" w:rsidP="0078185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8A2711" w:rsidRPr="00F04CCD" w:rsidRDefault="008A2711" w:rsidP="0078185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8A2711" w:rsidRPr="00F04CCD" w:rsidTr="00781857">
              <w:tc>
                <w:tcPr>
                  <w:tcW w:w="2993" w:type="dxa"/>
                </w:tcPr>
                <w:p w:rsidR="008A2711" w:rsidRPr="00F04CCD" w:rsidRDefault="008A2711" w:rsidP="00781857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8A2711" w:rsidRPr="00F04CCD" w:rsidRDefault="00C8763F" w:rsidP="0078185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39</w:t>
                  </w:r>
                  <w:r w:rsidR="008A2711">
                    <w:rPr>
                      <w:i/>
                    </w:rPr>
                    <w:t xml:space="preserve"> EUR</w:t>
                  </w:r>
                </w:p>
              </w:tc>
              <w:tc>
                <w:tcPr>
                  <w:tcW w:w="2994" w:type="dxa"/>
                </w:tcPr>
                <w:p w:rsidR="008A2711" w:rsidRPr="00F04CCD" w:rsidRDefault="00C8763F" w:rsidP="00781857">
                  <w:pPr>
                    <w:jc w:val="center"/>
                    <w:rPr>
                      <w:i/>
                    </w:rPr>
                  </w:pPr>
                  <w:r w:rsidRPr="00C8763F">
                    <w:rPr>
                      <w:i/>
                    </w:rPr>
                    <w:t xml:space="preserve">33 150 </w:t>
                  </w:r>
                  <w:r w:rsidR="008A2711" w:rsidRPr="008633E8">
                    <w:rPr>
                      <w:i/>
                    </w:rPr>
                    <w:t>EUR</w:t>
                  </w:r>
                </w:p>
              </w:tc>
            </w:tr>
            <w:tr w:rsidR="008A2711" w:rsidRPr="00F04CCD" w:rsidTr="00781857">
              <w:tc>
                <w:tcPr>
                  <w:tcW w:w="2993" w:type="dxa"/>
                </w:tcPr>
                <w:p w:rsidR="008A2711" w:rsidRPr="00F04CCD" w:rsidRDefault="008A2711" w:rsidP="00781857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8A2711" w:rsidRPr="008633E8" w:rsidRDefault="00C8763F" w:rsidP="004B5C6B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72</w:t>
                  </w:r>
                  <w:r w:rsidR="004E2867">
                    <w:rPr>
                      <w:b/>
                      <w:i/>
                    </w:rPr>
                    <w:t xml:space="preserve"> </w:t>
                  </w:r>
                  <w:r w:rsidR="008A2711" w:rsidRPr="008633E8">
                    <w:rPr>
                      <w:b/>
                      <w:i/>
                    </w:rPr>
                    <w:t>EUR</w:t>
                  </w:r>
                </w:p>
              </w:tc>
              <w:tc>
                <w:tcPr>
                  <w:tcW w:w="2994" w:type="dxa"/>
                </w:tcPr>
                <w:p w:rsidR="008A2711" w:rsidRPr="00F04CCD" w:rsidRDefault="004B5C6B" w:rsidP="004E2867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33 216 </w:t>
                  </w:r>
                  <w:r w:rsidR="008A2711" w:rsidRPr="008633E8">
                    <w:rPr>
                      <w:b/>
                      <w:i/>
                    </w:rPr>
                    <w:t>EUR</w:t>
                  </w:r>
                </w:p>
              </w:tc>
            </w:tr>
          </w:tbl>
          <w:p w:rsidR="008A2711" w:rsidRDefault="008A2711" w:rsidP="00781857"/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58372D" w:rsidRPr="00F04CCD" w:rsidTr="00781857">
              <w:tc>
                <w:tcPr>
                  <w:tcW w:w="2993" w:type="dxa"/>
                </w:tcPr>
                <w:p w:rsidR="0058372D" w:rsidRPr="00F04CCD" w:rsidRDefault="0058372D" w:rsidP="0058372D">
                  <w:pPr>
                    <w:rPr>
                      <w:i/>
                    </w:rPr>
                  </w:pPr>
                  <w:r>
                    <w:rPr>
                      <w:i/>
                    </w:rPr>
                    <w:t>Správny poplatok 1000 EUR</w:t>
                  </w:r>
                </w:p>
              </w:tc>
              <w:tc>
                <w:tcPr>
                  <w:tcW w:w="2994" w:type="dxa"/>
                </w:tcPr>
                <w:p w:rsidR="0058372D" w:rsidRDefault="0058372D" w:rsidP="0078185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  <w:p w:rsidR="0058372D" w:rsidRPr="00F04CCD" w:rsidRDefault="0058372D" w:rsidP="0078185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58372D" w:rsidRPr="00F04CCD" w:rsidRDefault="0058372D" w:rsidP="0078185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58372D" w:rsidRPr="00F04CCD" w:rsidTr="00781857">
              <w:tc>
                <w:tcPr>
                  <w:tcW w:w="2993" w:type="dxa"/>
                </w:tcPr>
                <w:p w:rsidR="0058372D" w:rsidRPr="00F04CCD" w:rsidRDefault="0058372D" w:rsidP="00781857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58372D" w:rsidRPr="00F04CCD" w:rsidRDefault="0058372D" w:rsidP="004B5C6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100 EUR</w:t>
                  </w:r>
                </w:p>
              </w:tc>
              <w:tc>
                <w:tcPr>
                  <w:tcW w:w="2994" w:type="dxa"/>
                </w:tcPr>
                <w:p w:rsidR="0058372D" w:rsidRPr="00F04CCD" w:rsidRDefault="0058372D" w:rsidP="0058372D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</w:tr>
            <w:tr w:rsidR="0058372D" w:rsidRPr="00F04CCD" w:rsidTr="00781857">
              <w:tc>
                <w:tcPr>
                  <w:tcW w:w="2993" w:type="dxa"/>
                </w:tcPr>
                <w:p w:rsidR="0058372D" w:rsidRPr="00F04CCD" w:rsidRDefault="0058372D" w:rsidP="00781857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58372D" w:rsidRPr="00F04CCD" w:rsidRDefault="0058372D" w:rsidP="0078185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58372D" w:rsidRPr="00F04CCD" w:rsidRDefault="0058372D" w:rsidP="0078185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58372D" w:rsidRPr="00F04CCD" w:rsidTr="00781857">
              <w:tc>
                <w:tcPr>
                  <w:tcW w:w="2993" w:type="dxa"/>
                </w:tcPr>
                <w:p w:rsidR="0058372D" w:rsidRPr="00F04CCD" w:rsidRDefault="0058372D" w:rsidP="00781857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58372D" w:rsidRPr="00F04CCD" w:rsidRDefault="009A5AF2" w:rsidP="0078185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39</w:t>
                  </w:r>
                  <w:r w:rsidR="0058372D">
                    <w:rPr>
                      <w:i/>
                    </w:rPr>
                    <w:t xml:space="preserve"> EUR</w:t>
                  </w:r>
                </w:p>
              </w:tc>
              <w:tc>
                <w:tcPr>
                  <w:tcW w:w="2994" w:type="dxa"/>
                </w:tcPr>
                <w:p w:rsidR="0058372D" w:rsidRPr="00F04CCD" w:rsidRDefault="00C8763F" w:rsidP="0078185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33 150</w:t>
                  </w:r>
                  <w:r w:rsidRPr="008633E8">
                    <w:rPr>
                      <w:i/>
                    </w:rPr>
                    <w:t xml:space="preserve"> </w:t>
                  </w:r>
                  <w:r w:rsidR="0058372D" w:rsidRPr="008633E8">
                    <w:rPr>
                      <w:i/>
                    </w:rPr>
                    <w:t>EUR</w:t>
                  </w:r>
                </w:p>
              </w:tc>
            </w:tr>
            <w:tr w:rsidR="0058372D" w:rsidRPr="00F04CCD" w:rsidTr="00781857">
              <w:tc>
                <w:tcPr>
                  <w:tcW w:w="2993" w:type="dxa"/>
                </w:tcPr>
                <w:p w:rsidR="0058372D" w:rsidRPr="00F04CCD" w:rsidRDefault="0058372D" w:rsidP="00781857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58372D" w:rsidRPr="008633E8" w:rsidRDefault="0058372D" w:rsidP="00C8763F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</w:t>
                  </w:r>
                  <w:r w:rsidR="00C8763F">
                    <w:rPr>
                      <w:b/>
                      <w:i/>
                    </w:rPr>
                    <w:t>39</w:t>
                  </w:r>
                  <w:r w:rsidRPr="008633E8">
                    <w:rPr>
                      <w:b/>
                      <w:i/>
                    </w:rPr>
                    <w:t>EUR</w:t>
                  </w:r>
                </w:p>
              </w:tc>
              <w:tc>
                <w:tcPr>
                  <w:tcW w:w="2994" w:type="dxa"/>
                </w:tcPr>
                <w:p w:rsidR="0058372D" w:rsidRPr="00F04CCD" w:rsidRDefault="0058372D" w:rsidP="00781857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-</w:t>
                  </w:r>
                </w:p>
              </w:tc>
            </w:tr>
          </w:tbl>
          <w:p w:rsidR="0058372D" w:rsidRDefault="0058372D" w:rsidP="00781857"/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58372D" w:rsidRPr="00F04CCD" w:rsidTr="00781857">
              <w:tc>
                <w:tcPr>
                  <w:tcW w:w="2993" w:type="dxa"/>
                </w:tcPr>
                <w:p w:rsidR="0058372D" w:rsidRPr="00F04CCD" w:rsidRDefault="0058372D" w:rsidP="0058372D">
                  <w:pPr>
                    <w:rPr>
                      <w:i/>
                    </w:rPr>
                  </w:pPr>
                  <w:r>
                    <w:rPr>
                      <w:i/>
                    </w:rPr>
                    <w:t>Správny poplatok 5000 EUR</w:t>
                  </w:r>
                </w:p>
              </w:tc>
              <w:tc>
                <w:tcPr>
                  <w:tcW w:w="2994" w:type="dxa"/>
                </w:tcPr>
                <w:p w:rsidR="0058372D" w:rsidRDefault="0058372D" w:rsidP="0078185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  <w:p w:rsidR="0058372D" w:rsidRPr="00F04CCD" w:rsidRDefault="0058372D" w:rsidP="00781857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58372D" w:rsidRPr="00F04CCD" w:rsidRDefault="0058372D" w:rsidP="0078185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58372D" w:rsidRPr="00F04CCD" w:rsidTr="00781857">
              <w:tc>
                <w:tcPr>
                  <w:tcW w:w="2993" w:type="dxa"/>
                </w:tcPr>
                <w:p w:rsidR="0058372D" w:rsidRPr="00F04CCD" w:rsidRDefault="0058372D" w:rsidP="00781857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58372D" w:rsidRPr="00F04CCD" w:rsidRDefault="0058372D" w:rsidP="0078185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500</w:t>
                  </w:r>
                  <w:r w:rsidR="004B5C6B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EUR</w:t>
                  </w:r>
                </w:p>
              </w:tc>
              <w:tc>
                <w:tcPr>
                  <w:tcW w:w="2994" w:type="dxa"/>
                </w:tcPr>
                <w:p w:rsidR="0058372D" w:rsidRPr="00F04CCD" w:rsidRDefault="0058372D" w:rsidP="0078185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</w:p>
              </w:tc>
            </w:tr>
            <w:tr w:rsidR="0058372D" w:rsidRPr="00F04CCD" w:rsidTr="00781857">
              <w:tc>
                <w:tcPr>
                  <w:tcW w:w="2993" w:type="dxa"/>
                </w:tcPr>
                <w:p w:rsidR="0058372D" w:rsidRPr="00F04CCD" w:rsidRDefault="0058372D" w:rsidP="00781857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58372D" w:rsidRPr="00F04CCD" w:rsidRDefault="0058372D" w:rsidP="0078185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58372D" w:rsidRPr="00F04CCD" w:rsidRDefault="0058372D" w:rsidP="00781857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58372D" w:rsidRPr="00F04CCD" w:rsidTr="00781857">
              <w:tc>
                <w:tcPr>
                  <w:tcW w:w="2993" w:type="dxa"/>
                </w:tcPr>
                <w:p w:rsidR="0058372D" w:rsidRPr="00F04CCD" w:rsidRDefault="0058372D" w:rsidP="00781857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58372D" w:rsidRPr="00F04CCD" w:rsidRDefault="009A5AF2" w:rsidP="00781857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39</w:t>
                  </w:r>
                  <w:r w:rsidR="0058372D">
                    <w:rPr>
                      <w:i/>
                    </w:rPr>
                    <w:t xml:space="preserve"> EUR</w:t>
                  </w:r>
                </w:p>
              </w:tc>
              <w:tc>
                <w:tcPr>
                  <w:tcW w:w="2994" w:type="dxa"/>
                </w:tcPr>
                <w:p w:rsidR="0058372D" w:rsidRPr="00F04CCD" w:rsidRDefault="004726D3" w:rsidP="00781857">
                  <w:pPr>
                    <w:jc w:val="center"/>
                    <w:rPr>
                      <w:i/>
                    </w:rPr>
                  </w:pPr>
                  <w:r w:rsidRPr="004726D3">
                    <w:rPr>
                      <w:i/>
                    </w:rPr>
                    <w:t xml:space="preserve">33 150 </w:t>
                  </w:r>
                  <w:r w:rsidR="0058372D" w:rsidRPr="008633E8">
                    <w:rPr>
                      <w:i/>
                    </w:rPr>
                    <w:t>EUR</w:t>
                  </w:r>
                </w:p>
              </w:tc>
            </w:tr>
            <w:tr w:rsidR="0058372D" w:rsidRPr="00F04CCD" w:rsidTr="00781857">
              <w:tc>
                <w:tcPr>
                  <w:tcW w:w="2993" w:type="dxa"/>
                </w:tcPr>
                <w:p w:rsidR="0058372D" w:rsidRPr="00F04CCD" w:rsidRDefault="0058372D" w:rsidP="00781857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58372D" w:rsidRPr="008633E8" w:rsidRDefault="004B5C6B" w:rsidP="00781857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539</w:t>
                  </w:r>
                  <w:r w:rsidR="0058372D">
                    <w:rPr>
                      <w:b/>
                      <w:i/>
                    </w:rPr>
                    <w:t xml:space="preserve"> </w:t>
                  </w:r>
                  <w:r w:rsidR="0058372D" w:rsidRPr="008633E8">
                    <w:rPr>
                      <w:b/>
                      <w:i/>
                    </w:rPr>
                    <w:t>EUR</w:t>
                  </w:r>
                </w:p>
              </w:tc>
              <w:tc>
                <w:tcPr>
                  <w:tcW w:w="2994" w:type="dxa"/>
                </w:tcPr>
                <w:p w:rsidR="0058372D" w:rsidRPr="00F04CCD" w:rsidRDefault="0058372D" w:rsidP="0058372D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-</w:t>
                  </w:r>
                </w:p>
              </w:tc>
            </w:tr>
          </w:tbl>
          <w:p w:rsidR="0058372D" w:rsidRDefault="0058372D" w:rsidP="00781857"/>
          <w:p w:rsidR="0058372D" w:rsidRPr="008A2711" w:rsidRDefault="0058372D" w:rsidP="00AC69E4">
            <w:pPr>
              <w:jc w:val="both"/>
            </w:pPr>
            <w:r>
              <w:t xml:space="preserve">Nie je možné vyčísliť priame finančné náklady na </w:t>
            </w:r>
            <w:r w:rsidRPr="004E2867">
              <w:t>celé podnikateľské prostredie</w:t>
            </w:r>
            <w:r>
              <w:t xml:space="preserve"> pri správnych poplatkoch za žiadosť o udelenie autorizácie pre nové subjekty</w:t>
            </w:r>
            <w:r w:rsidR="00083986">
              <w:t>,</w:t>
            </w:r>
            <w:r>
              <w:t xml:space="preserve"> keďže by šlo len o odhad predkladateľa vychádzajúci z výročných správ za posledných päť rokov</w:t>
            </w:r>
            <w:r w:rsidR="00083986">
              <w:t>,</w:t>
            </w:r>
            <w:r>
              <w:t xml:space="preserve"> kde došlo k udeleniu autorizácie pre nové subjekty len v dvoch prípadoch. Z uvedeného dôvodu predkladateľ nevie vyčísliť ani približne priame finančné náklady na celé podnikateľské prostredie.</w:t>
            </w:r>
          </w:p>
        </w:tc>
      </w:tr>
      <w:tr w:rsidR="009F2DFA" w:rsidRPr="00F04CCD" w:rsidTr="00781857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818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781857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81857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81857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F04CCD">
              <w:rPr>
                <w:i/>
              </w:rPr>
              <w:t>mikro</w:t>
            </w:r>
            <w:proofErr w:type="spellEnd"/>
            <w:r w:rsidRPr="00F04CCD">
              <w:rPr>
                <w:i/>
              </w:rPr>
              <w:t>, malé a stredné podniky tzv. MSP)? Ak áno, popíšte.</w:t>
            </w:r>
          </w:p>
          <w:p w:rsidR="009F2DFA" w:rsidRPr="00F04CCD" w:rsidRDefault="009F2DFA" w:rsidP="00781857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781857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781857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781857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8633E8" w:rsidRPr="008633E8" w:rsidRDefault="008633E8" w:rsidP="008633E8">
            <w:pPr>
              <w:jc w:val="both"/>
            </w:pPr>
            <w:r w:rsidRPr="008633E8">
              <w:t xml:space="preserve">Predkladaným návrhom </w:t>
            </w:r>
            <w:r>
              <w:t>zákona</w:t>
            </w:r>
            <w:r w:rsidRPr="008633E8">
              <w:t xml:space="preserve"> nedochádza k vytvoreniu bariér pre vstup na trh pre nových dodávateľov alebo poskytovateľov služieb.</w:t>
            </w:r>
          </w:p>
          <w:p w:rsidR="008633E8" w:rsidRPr="008633E8" w:rsidRDefault="008633E8" w:rsidP="008633E8">
            <w:pPr>
              <w:jc w:val="both"/>
            </w:pPr>
            <w:r w:rsidRPr="008633E8">
              <w:t>Navrhovaná zmena bude mať za následok prísnejšiu reguláciu správania sa hospodárskych subjektov čo sa týka vysledovateľnosti výrobkov v distribučnom reťazci</w:t>
            </w:r>
            <w:r>
              <w:t xml:space="preserve"> ako aj prísnejšiu reguláciu a preverovanie spôsobilosti autorizovaných a notifikovaných osôb</w:t>
            </w:r>
            <w:r w:rsidRPr="008633E8">
              <w:t>.</w:t>
            </w:r>
          </w:p>
          <w:p w:rsidR="008633E8" w:rsidRPr="008633E8" w:rsidRDefault="008633E8" w:rsidP="008633E8">
            <w:pPr>
              <w:jc w:val="both"/>
            </w:pPr>
            <w:r w:rsidRPr="008633E8">
              <w:t>S podnikmi alebo ani produktmi sa nebude zaobchádzať v porovnateľnej situácii rôzne.</w:t>
            </w:r>
          </w:p>
          <w:p w:rsidR="009F2DFA" w:rsidRPr="00F04CCD" w:rsidRDefault="008633E8" w:rsidP="008633E8">
            <w:pPr>
              <w:jc w:val="both"/>
              <w:rPr>
                <w:i/>
              </w:rPr>
            </w:pPr>
            <w:r w:rsidRPr="008633E8">
              <w:t xml:space="preserve">Navrhovaná zmena nebude mať vplyv na obchodné bariéry ani na vyvolanie cezhraničných investícií. </w:t>
            </w:r>
            <w:r w:rsidRPr="008633E8">
              <w:lastRenderedPageBreak/>
              <w:t>Neovplyvní sa cena ani dostupnosť základných zdrojov ani prístup k financiám.</w:t>
            </w:r>
          </w:p>
        </w:tc>
      </w:tr>
      <w:tr w:rsidR="009F2DFA" w:rsidRPr="00F04CCD" w:rsidTr="00781857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818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781857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81857">
        <w:tc>
          <w:tcPr>
            <w:tcW w:w="9212" w:type="dxa"/>
          </w:tcPr>
          <w:p w:rsidR="009F2DFA" w:rsidRPr="00F04CCD" w:rsidRDefault="009F2DFA" w:rsidP="00781857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781857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781857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 xml:space="preserve">, vlastníctvo </w:t>
            </w:r>
            <w:proofErr w:type="spellStart"/>
            <w:r w:rsidRPr="00F04CCD">
              <w:rPr>
                <w:i/>
              </w:rPr>
              <w:t>know-how</w:t>
            </w:r>
            <w:proofErr w:type="spellEnd"/>
            <w:r w:rsidRPr="00F04CCD">
              <w:rPr>
                <w:i/>
              </w:rPr>
              <w:t>).</w:t>
            </w:r>
          </w:p>
          <w:p w:rsidR="009F2DFA" w:rsidRDefault="009F2DFA" w:rsidP="00781857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781857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781857">
        <w:trPr>
          <w:trHeight w:val="1747"/>
        </w:trPr>
        <w:tc>
          <w:tcPr>
            <w:tcW w:w="9212" w:type="dxa"/>
          </w:tcPr>
          <w:p w:rsidR="009F2DFA" w:rsidRPr="008633E8" w:rsidRDefault="008633E8" w:rsidP="008633E8">
            <w:pPr>
              <w:jc w:val="both"/>
            </w:pPr>
            <w:r w:rsidRPr="008633E8">
              <w:t xml:space="preserve">Predkladaný návrh </w:t>
            </w:r>
            <w:r>
              <w:t>zákona</w:t>
            </w:r>
            <w:r w:rsidRPr="008633E8">
              <w:t xml:space="preserve"> nemá vplyv na inovácie podnikateľov.</w:t>
            </w:r>
          </w:p>
        </w:tc>
      </w:tr>
    </w:tbl>
    <w:p w:rsidR="009F2DFA" w:rsidRDefault="009F2DFA" w:rsidP="009F2DFA">
      <w:pPr>
        <w:rPr>
          <w:b/>
          <w:sz w:val="24"/>
        </w:rPr>
      </w:pPr>
    </w:p>
    <w:sectPr w:rsidR="009F2DF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1A" w:rsidRDefault="004A601A" w:rsidP="009F2DFA">
      <w:r>
        <w:separator/>
      </w:r>
    </w:p>
  </w:endnote>
  <w:endnote w:type="continuationSeparator" w:id="0">
    <w:p w:rsidR="004A601A" w:rsidRDefault="004A601A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381234"/>
      <w:docPartObj>
        <w:docPartGallery w:val="Page Numbers (Bottom of Page)"/>
        <w:docPartUnique/>
      </w:docPartObj>
    </w:sdtPr>
    <w:sdtEndPr/>
    <w:sdtContent>
      <w:p w:rsidR="00781857" w:rsidRDefault="0078185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82B">
          <w:rPr>
            <w:noProof/>
          </w:rPr>
          <w:t>1</w:t>
        </w:r>
        <w:r>
          <w:fldChar w:fldCharType="end"/>
        </w:r>
      </w:p>
    </w:sdtContent>
  </w:sdt>
  <w:p w:rsidR="00781857" w:rsidRDefault="0078185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1A" w:rsidRDefault="004A601A" w:rsidP="009F2DFA">
      <w:r>
        <w:separator/>
      </w:r>
    </w:p>
  </w:footnote>
  <w:footnote w:type="continuationSeparator" w:id="0">
    <w:p w:rsidR="004A601A" w:rsidRDefault="004A601A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57" w:rsidRDefault="00781857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:rsidR="00781857" w:rsidRDefault="0078185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13"/>
    <w:rsid w:val="00024329"/>
    <w:rsid w:val="00024A47"/>
    <w:rsid w:val="00037AE9"/>
    <w:rsid w:val="00083986"/>
    <w:rsid w:val="00094419"/>
    <w:rsid w:val="000E4311"/>
    <w:rsid w:val="001037B8"/>
    <w:rsid w:val="00154881"/>
    <w:rsid w:val="0016665E"/>
    <w:rsid w:val="001D2F21"/>
    <w:rsid w:val="0020665C"/>
    <w:rsid w:val="00217C38"/>
    <w:rsid w:val="00236C9A"/>
    <w:rsid w:val="002B1108"/>
    <w:rsid w:val="002F3D1B"/>
    <w:rsid w:val="00347EA7"/>
    <w:rsid w:val="003D3C08"/>
    <w:rsid w:val="0042582B"/>
    <w:rsid w:val="004726D3"/>
    <w:rsid w:val="004A601A"/>
    <w:rsid w:val="004B5C6B"/>
    <w:rsid w:val="004E2867"/>
    <w:rsid w:val="0052297F"/>
    <w:rsid w:val="005569F7"/>
    <w:rsid w:val="0058372D"/>
    <w:rsid w:val="00596159"/>
    <w:rsid w:val="005963DA"/>
    <w:rsid w:val="005971F7"/>
    <w:rsid w:val="00643659"/>
    <w:rsid w:val="00685B77"/>
    <w:rsid w:val="006D72B7"/>
    <w:rsid w:val="006E6A74"/>
    <w:rsid w:val="00780BA6"/>
    <w:rsid w:val="00781857"/>
    <w:rsid w:val="007A2B77"/>
    <w:rsid w:val="007A56C9"/>
    <w:rsid w:val="007F4AD0"/>
    <w:rsid w:val="00837639"/>
    <w:rsid w:val="00841957"/>
    <w:rsid w:val="0084531B"/>
    <w:rsid w:val="008633E8"/>
    <w:rsid w:val="008A1252"/>
    <w:rsid w:val="008A2711"/>
    <w:rsid w:val="00904C9B"/>
    <w:rsid w:val="009A5AF2"/>
    <w:rsid w:val="009F2DFA"/>
    <w:rsid w:val="00A82B40"/>
    <w:rsid w:val="00AC5558"/>
    <w:rsid w:val="00AC69E4"/>
    <w:rsid w:val="00AD78B6"/>
    <w:rsid w:val="00AF3534"/>
    <w:rsid w:val="00B151D6"/>
    <w:rsid w:val="00B31A8E"/>
    <w:rsid w:val="00B65721"/>
    <w:rsid w:val="00BA073A"/>
    <w:rsid w:val="00BA7F9A"/>
    <w:rsid w:val="00C132D0"/>
    <w:rsid w:val="00C32C3B"/>
    <w:rsid w:val="00C8763F"/>
    <w:rsid w:val="00CB3623"/>
    <w:rsid w:val="00CC4607"/>
    <w:rsid w:val="00D76F67"/>
    <w:rsid w:val="00DA335F"/>
    <w:rsid w:val="00DD6B61"/>
    <w:rsid w:val="00DE17D8"/>
    <w:rsid w:val="00E702EA"/>
    <w:rsid w:val="00E86AD1"/>
    <w:rsid w:val="00F10EB5"/>
    <w:rsid w:val="00F15F5D"/>
    <w:rsid w:val="00F41620"/>
    <w:rsid w:val="00F65D57"/>
    <w:rsid w:val="00F72846"/>
    <w:rsid w:val="00F919C3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781857"/>
    <w:rPr>
      <w:rFonts w:ascii="Times New Roman" w:hAnsi="Times New Roman"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781857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8_Vplyvy_na_podnikatelske_prostredie"/>
    <f:field ref="objsubject" par="" edit="true" text=""/>
    <f:field ref="objcreatedby" par="" text="Pankievičová, Anežka, Mgr."/>
    <f:field ref="objcreatedat" par="" text="2.8.2016 16:34:54"/>
    <f:field ref="objchangedby" par="" text="Administrator, System"/>
    <f:field ref="objmodifiedat" par="" text="2.8.2016 16:34:5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591517F-13B0-4897-B314-697747A1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UNMS</Company>
  <LinksUpToDate>false</LinksUpToDate>
  <CharactersWithSpaces>13783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Pankievičová Anežka</cp:lastModifiedBy>
  <cp:revision>2</cp:revision>
  <cp:lastPrinted>2016-10-12T04:38:00Z</cp:lastPrinted>
  <dcterms:created xsi:type="dcterms:W3CDTF">2016-10-12T04:39:00Z</dcterms:created>
  <dcterms:modified xsi:type="dcterms:W3CDTF">2016-10-12T04:39:00Z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a&amp;nbsp;dopĺňa zákon č. 264/1999 Z. z. o&amp;nbsp;technických požiadavkách na výrobky a o posudzovaní zhody a&amp;nbsp;o&amp;nbsp;zmene a&amp;nbsp;doplnení niektorých zákonov v&amp;nbsp;znení&amp;nbsp;neskorších pred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Technické normy_x000d_
Metrológia a skúšobníctvo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Anežka Pankievičová</vt:lpwstr>
  </property>
  <property fmtid="{D5CDD505-2E9C-101B-9397-08002B2CF9AE}" pid="12" name="FSC#SKEDITIONSLOVLEX@103.510:zodppredkladatel">
    <vt:lpwstr>Ing. Pavol Pavlis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264/1999 Z. z. o technických požiadavkách na výrobky a o posudzovaní zhody a o zmene a doplnení niektorých zákonov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pre normalizáciu, metrológiu a skúšobníctvo Slovenskej republiky</vt:lpwstr>
  </property>
  <property fmtid="{D5CDD505-2E9C-101B-9397-08002B2CF9AE}" pid="20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Zákon, ktorým sa mení a dopĺňa zákon č. 264/1999 Z. z. o technických požiadavkách na výrobky a o posudzovaní zhody a o zmene a doplnení niektorých zákonov v znení neskorších predpisov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2016/300/005576/01903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LP/2016/762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Zmluva o fungovaní Európskej únie – článok 114 Aproximácia práva </vt:lpwstr>
  </property>
  <property fmtid="{D5CDD505-2E9C-101B-9397-08002B2CF9AE}" pid="47" name="FSC#SKEDITIONSLOVLEX@103.510:AttrStrListDocPropSekundarneLegPravoPO">
    <vt:lpwstr>Nariadenie Európskeho parlamentu a Rady (EÚ) č. 1025/2012 z 25. októbra 2012 o európskej normalizácii, ktorým sa menia a dopĺňajú smernice Rady 89/686/EHS a 93/15/EHS a smernice Európskeho parlamentu a Rady 94/9/ES, 94/25/ES, 95/16/ES, 97/23/ES, 98/34/ES,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>Nariadenie Európskeho parlamentu a Rady (ES) č. 764/2008 z 9. júla 2008, ktorým sa ustanovujú postupy týkajúce sa uplatňovania určitých vnútroštátnych technických pravidiel na výrobky, ktoré sú v súlade s právnymi predpismi uvedené na trh v inom členskom </vt:lpwstr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do 1. januára 2013 pri nariadení (EÚ) 2012/1025,_x000d_
do 21. októbra 2016 pre články  22 až 38 a článok 44 nariadenia (EÚ) 2016/424, ostatné ustanovenia sa uplatňujú od 21. apríla 2018,_x000d_
do 21. októbra 2016 pre články  20 až 36 a článok 44 nariadenia (EÚ) 201</vt:lpwstr>
  </property>
  <property fmtid="{D5CDD505-2E9C-101B-9397-08002B2CF9AE}" pid="53" name="FSC#SKEDITIONSLOVLEX@103.510:AttrStrListDocPropLehotaNaPredlozenie">
    <vt:lpwstr>nebola určená</vt:lpwstr>
  </property>
  <property fmtid="{D5CDD505-2E9C-101B-9397-08002B2CF9AE}" pid="54" name="FSC#SKEDITIONSLOVLEX@103.510:AttrStrListDocPropInfoZaciatokKonania">
    <vt:lpwstr>konanie nebolo začaté</vt:lpwstr>
  </property>
  <property fmtid="{D5CDD505-2E9C-101B-9397-08002B2CF9AE}" pid="55" name="FSC#SKEDITIONSLOVLEX@103.510:AttrStrListDocPropInfoUzPreberanePP">
    <vt:lpwstr>Smernica (EÚ) 2015/1535 z 9. septembra 2015, ktorou sa stanovuje postup pri poskytovaní informácií v oblasti technických predpisov a pravidiel vzťahujúcich sa na služby informačnej spoločnosti je kodifikovaným znením pôvodnej smernice Európskeho parlament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Úrad pre normalizáciu, metrológiu a skúšobníctvo Slovenskej republiky</vt:lpwstr>
  </property>
  <property fmtid="{D5CDD505-2E9C-101B-9397-08002B2CF9AE}" pid="58" name="FSC#SKEDITIONSLOVLEX@103.510:AttrDateDocPropZaciatokPKK">
    <vt:lpwstr>22. 6. 2016</vt:lpwstr>
  </property>
  <property fmtid="{D5CDD505-2E9C-101B-9397-08002B2CF9AE}" pid="59" name="FSC#SKEDITIONSLOVLEX@103.510:AttrDateDocPropUkonceniePKK">
    <vt:lpwstr>28. 7. 2016</vt:lpwstr>
  </property>
  <property fmtid="{D5CDD505-2E9C-101B-9397-08002B2CF9AE}" pid="60" name="FSC#SKEDITIONSLOVLEX@103.510:AttrStrDocPropVplyvRozpocetVS">
    <vt:lpwstr>Pozitívne</vt:lpwstr>
  </property>
  <property fmtid="{D5CDD505-2E9C-101B-9397-08002B2CF9AE}" pid="61" name="FSC#SKEDITIONSLOVLEX@103.510:AttrStrDocPropVplyvPodnikatelskeProstr">
    <vt:lpwstr>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>Predkladaným návrhom zákona dochádza k úprave správnych poplatkov, zavedeniu nových správnych poplatkov a úprave horných sadzieb pokút, ktoré sú príjmami do rozpočtu verejnej správy. Jedná sa o dve skupiny príjmov, ktorými sú 1. príjmy vo forme e-kolkov, </vt:lpwstr>
  </property>
  <property fmtid="{D5CDD505-2E9C-101B-9397-08002B2CF9AE}" pid="66" name="FSC#SKEDITIONSLOVLEX@103.510:AttrStrListDocPropAltRiesenia">
    <vt:lpwstr>Alternatívne riešenia neboli zvažované.</vt:lpwstr>
  </property>
  <property fmtid="{D5CDD505-2E9C-101B-9397-08002B2CF9AE}" pid="67" name="FSC#SKEDITIONSLOVLEX@103.510:AttrStrListDocPropStanoviskoGest">
    <vt:lpwstr>Návrh zákona bol v dňoch od 15. júla 2016 do 28. júla 2016 predmetom opätovného predbežného pripomienkového konania, v rámci ktorého Stála pracovná komisia Legislatívnej rady vlády Slovenskej republiky na posudzovanie vybraných vplyvov zaujala k materiálu</vt:lpwstr>
  </property>
  <property fmtid="{D5CDD505-2E9C-101B-9397-08002B2CF9AE}" pid="68" name="FSC#SKEDITIONSLOVLEX@103.510:AttrStrListDocPropTextKomunike">
    <vt:lpwstr>Vláda Slovenskej republiky na svojom rokovaní dňa ....................... prerokovala a schválila návrh zákona, ktorým sa mení a dopĺňa zákon č. 264/1999 Z. z. o technických požiadavkách na výrobky a o posudzovaní zhody a o zmene a doplnení niektorých zák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hospodárstva Slovenskej republiky_x000d_
predseda Úradu pre normalizáciu, metrológiu a skúšobníctvo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radca</vt:lpwstr>
  </property>
  <property fmtid="{D5CDD505-2E9C-101B-9397-08002B2CF9AE}" pid="139" name="FSC#SKEDITIONSLOVLEX@103.510:funkciaPredAkuzativ">
    <vt:lpwstr>hlavnému radcovi</vt:lpwstr>
  </property>
  <property fmtid="{D5CDD505-2E9C-101B-9397-08002B2CF9AE}" pid="140" name="FSC#SKEDITIONSLOVLEX@103.510:funkciaPredDativ">
    <vt:lpwstr>hlavného radcu</vt:lpwstr>
  </property>
  <property fmtid="{D5CDD505-2E9C-101B-9397-08002B2CF9AE}" pid="141" name="FSC#SKEDITIONSLOVLEX@103.510:funkciaZodpPred">
    <vt:lpwstr>predseda Úradu pre normalizáciu, metrológiu a skúšobníctvo Slovenskej republiky</vt:lpwstr>
  </property>
  <property fmtid="{D5CDD505-2E9C-101B-9397-08002B2CF9AE}" pid="142" name="FSC#SKEDITIONSLOVLEX@103.510:funkciaZodpPredAkuzativ">
    <vt:lpwstr>predsedovi Úradu pre normalizáciu, metrológiu a skúšobníctvo Slovenskej republiky</vt:lpwstr>
  </property>
  <property fmtid="{D5CDD505-2E9C-101B-9397-08002B2CF9AE}" pid="143" name="FSC#SKEDITIONSLOVLEX@103.510:funkciaZodpPredDativ">
    <vt:lpwstr>predsedu Úradu pre normalizáciu, metrológiu a skúšobníctvo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Pavol Pavlis_x000d_
predseda Úradu pre normalizáciu, metrológiu a skúšobníctvo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zákona, ktorým sa mení a&amp;nbsp;dopĺňa zákon č. 264/1999 Z. z. o&amp;nbsp;technických požiadavkách na výrobky a o posudzovaní zhody a&amp;nbsp;o&amp;nbsp;zmene a&amp;nbsp;doplnení niektorých zákonov v&amp;nbsp;znení&amp;nbsp; neskorších predpisov (ďalej len „návrh zákona“</vt:lpwstr>
  </property>
  <property fmtid="{D5CDD505-2E9C-101B-9397-08002B2CF9AE}" pid="150" name="FSC#COOSYSTEM@1.1:Container">
    <vt:lpwstr>COO.2145.1000.3.1551287</vt:lpwstr>
  </property>
  <property fmtid="{D5CDD505-2E9C-101B-9397-08002B2CF9AE}" pid="151" name="FSC#FSCFOLIO@1.1001:docpropproject">
    <vt:lpwstr/>
  </property>
</Properties>
</file>