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A750E" w:rsidRDefault="00FA750E">
      <w:pPr>
        <w:jc w:val="center"/>
        <w:divId w:val="1867013029"/>
        <w:rPr>
          <w:rFonts w:ascii="Times" w:hAnsi="Times" w:cs="Times"/>
          <w:sz w:val="25"/>
          <w:szCs w:val="25"/>
        </w:rPr>
      </w:pPr>
      <w:r>
        <w:rPr>
          <w:rFonts w:ascii="Times" w:hAnsi="Times" w:cs="Times"/>
          <w:sz w:val="25"/>
          <w:szCs w:val="25"/>
        </w:rPr>
        <w:t xml:space="preserve">Nariadenie vlády Slovenskej republiky, ktorým sa uznáva kúpeľné miesto Červený Kláštor a vydáva Štatút kúpeľného miesta Červený Kláštor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A750E" w:rsidP="00FA750E">
            <w:pPr>
              <w:spacing w:after="0" w:line="240" w:lineRule="auto"/>
              <w:rPr>
                <w:rFonts w:ascii="Times New Roman" w:hAnsi="Times New Roman" w:cs="Calibri"/>
                <w:sz w:val="20"/>
                <w:szCs w:val="20"/>
              </w:rPr>
            </w:pPr>
            <w:r>
              <w:rPr>
                <w:rFonts w:ascii="Times" w:hAnsi="Times" w:cs="Times"/>
                <w:sz w:val="25"/>
                <w:szCs w:val="25"/>
              </w:rPr>
              <w:t>25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A750E" w:rsidP="00FA750E">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A750E" w:rsidP="00FA750E">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A750E" w:rsidP="00FA750E">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A750E" w:rsidP="00FA750E">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A750E" w:rsidRDefault="00FA750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FA750E">
        <w:trPr>
          <w:divId w:val="16475117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Vôbec nezaslali</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x</w:t>
            </w:r>
          </w:p>
        </w:tc>
      </w:tr>
      <w:tr w:rsidR="00FA750E">
        <w:trPr>
          <w:divId w:val="1647511734"/>
          <w:jc w:val="center"/>
        </w:trPr>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750E" w:rsidRDefault="00FA750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A750E" w:rsidRDefault="00FA750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614"/>
        <w:gridCol w:w="641"/>
        <w:gridCol w:w="641"/>
        <w:gridCol w:w="3959"/>
      </w:tblGrid>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Spôsob vyhodnotenia</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 xml:space="preserve">odporúčame prehodnotiť vplyvy navrhovaného materiálu, a to konkrétne vplyvy na rozpočet verejnej správy, vplyvy na podnikateľské prostredie, sociálne vplyvy, vplyvy na životné prostredie, ako aj vplyvy na služby pre občana, zároveň sprievodnú dokumentáciu k predmetnému materiálu odporúčame doplniť o Správu o účasti verejnosti na tvorbe právneho predpisu, nakoľko k nej nie je pripojená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 xml:space="preserve">Vplyvy na životné ani podnikateľské prostredie sa nepredpokladajú, vzhľadom k tomu, že ide o lokalitu, nachádzajúcu sa národnom parku a v jeho ochrannom pásme, kde vzhľadom k obmedzeniam vyplývajúcim o zákona č. 543/202 Z.z. o ochrane prírody a krajiny v znení neskorších predpisov sú už prispôsobené podnikateľské a iné aktivity a činnosti požiadavkám ochrany životného prostredia v danej oblasti. Uznaním kúpeľného miesta Červený Kláštor a jeho štatútu s vymedzením kúpeľného územia , nedôjde k narušeniu už nastaveného režimu. Z dôvodu existencie prírodných liečivých zdrojov a vhodných klimatických podmienok, na základe ktorých sú v </w:t>
            </w:r>
            <w:r>
              <w:rPr>
                <w:rFonts w:ascii="Times" w:hAnsi="Times" w:cs="Times"/>
                <w:sz w:val="25"/>
                <w:szCs w:val="25"/>
              </w:rPr>
              <w:lastRenderedPageBreak/>
              <w:t xml:space="preserve">tejto lokalite prevádzkované prírodné liečebné kúpele, bolo potrebné formálne uznanie statusu kúpeľného miesta Vplyvy na rozpočet verejnej správy nie sú žiadne. Návrh sa fakticky týka časti katastrálneho územia jednej obce, pričom náklady, spojené s je uznaním za kúpeľné miesto (t.j. s vyznačením hraníc kúpeľného miesta a kúpeľného územia v teréne znáša prevádzkovateľ prírodných liečivých kúpeľov. Vyznačenie v katastri nehnuteľností zabezpečuje MZ SR. Obec zabezpečuje resp. dohliada nad opatreniami, vyplývajúcimi zo štatútu len v rozsahu jej kompetencií vymedzených zákonom č. 538/2005 Z.z. Rovnako predkladateľ nekonštatuje ani sociálne vplyvy resp. vplyvy na služby pre občana. Správa o účasti verejnosti nebola spracovaná. Z technických príčin spôsobených prechodom na nový elektronický systém právnych predpisov nedošlo k zverejneniu predbežnej informácie o návrhu na portáli Slov-lex. </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v bode 1 je potrebné doplniť „Termín začiatku a ukončenia PPK“, príp. zdôvodniť skutočnosť prečo nebola prostredníctvom portálu Slov-Lex zverejnená predbežná informácia o navrhovanej právnej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Materiál nebol predložený do PPK vzhľadom k písomnému stanovisku gestora Jednotnej metodiky na posudzovanie vybraných vplyvov, nakoľko predkladateľ v doložke konštatuje, že sa nepredpokladajú vplyvy ani na jednu z vybraných oblastí; v takom prípade môže byť materiál najmä takéhoto charakteru predložený priamo do MPK. Predbežná informácia o predmetnom návrhu nebola zverejnená z technických príčin v súvislosti s prechodom na nový elektronický systém právnych predpisov</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návrhu právneho predpisu s právom Európskej únie je potrebné doplniť body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Znenie Doložky je vypracované v súlade s prílohou 2. Legislatívnych pravidlami vlády SR</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v Osobitnej časti, v Prílohe, odporúčame slová „poskytovanie kúpeľnej starostlivosti“ nahradiť slovami „vykonávanie kúpeľnej starostlivosti“ v súlade s právnou úpravou (§ 2 ods. 9, § 35 ods. 2 zákona č. 538/2005 Z. z. o prírodných liečivých vodách, prírodných liečebných kúpeľoch, kúpeľných miestach a prírodných minerálnych vodách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Prílohe, Obrázku č. 2</w:t>
            </w:r>
            <w:r>
              <w:rPr>
                <w:rFonts w:ascii="Times" w:hAnsi="Times" w:cs="Times"/>
                <w:sz w:val="25"/>
                <w:szCs w:val="25"/>
              </w:rPr>
              <w:br/>
              <w:t>V Prílohe k návrhu nariadenia vlády, na Obrázku č. 2, odporúčame v popise daného obrázku slová „rozsah kúpeľného miesta“ nahradiť slovami „rozsah kúpeľného územia“ v súlade s odkazom v Čl. I ods. 2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(ďalej len „LPV“) a s ich prílohami (napríklad v prílohe poznámku pod čiarou k odkazu 2 zosúladiť s bodom 23.6 prílohy č. 1 LPV, na obrázku č. 2 slová „rozsah kúpeľného miesta“ nahradiť slovami „rozsah kúpeľného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 xml:space="preserve">Text bol upravený v zmysle pripomienky </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Čl. II</w:t>
            </w:r>
            <w:r>
              <w:rPr>
                <w:rFonts w:ascii="Times" w:hAnsi="Times" w:cs="Times"/>
                <w:sz w:val="25"/>
                <w:szCs w:val="25"/>
              </w:rPr>
              <w:br/>
              <w:t>K čl.II: odporúčame doplniť subjekty, ktoré budú dohliadať na dodržiavanie ustanovení v čl.II štatútu a prípadné sankcie a ich výšku.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 xml:space="preserve">Ide o úpravu, ktorá svojim obsahom nepatrí do vykonávacieho predpisu a je priamo obsiahnutá v ustanoveniach 6. časti zákona č. 538/2005 Z.z. </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Obrázok 1, Obrázok 2</w:t>
            </w:r>
            <w:r>
              <w:rPr>
                <w:rFonts w:ascii="Times" w:hAnsi="Times" w:cs="Times"/>
                <w:sz w:val="25"/>
                <w:szCs w:val="25"/>
              </w:rPr>
              <w:br/>
              <w:t xml:space="preserve">K Obrázok 1, obrázok 2: odporúčame tieto dokumenty zahrnúť </w:t>
            </w:r>
            <w:r>
              <w:rPr>
                <w:rFonts w:ascii="Times" w:hAnsi="Times" w:cs="Times"/>
                <w:sz w:val="25"/>
                <w:szCs w:val="25"/>
              </w:rPr>
              <w:lastRenderedPageBreak/>
              <w:t>ako prílohy 1 a 2 k štatútu.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 xml:space="preserve">Obrázky sú súčasťou štatútu, ktorý je </w:t>
            </w:r>
            <w:r>
              <w:rPr>
                <w:rFonts w:ascii="Times" w:hAnsi="Times" w:cs="Times"/>
                <w:sz w:val="25"/>
                <w:szCs w:val="25"/>
              </w:rPr>
              <w:lastRenderedPageBreak/>
              <w:t>sám o sebe prílohou.</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K štatútu</w:t>
            </w:r>
            <w:r>
              <w:rPr>
                <w:rFonts w:ascii="Times" w:hAnsi="Times" w:cs="Times"/>
                <w:sz w:val="25"/>
                <w:szCs w:val="25"/>
              </w:rPr>
              <w:br/>
              <w:t>K štatútu: odporúčame za čl. II doplniť článok III s uvedením účinnosti štatútu.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 xml:space="preserve">Štatút ako príloha nariadenia je jeho neoddeliteľou súčasťou. Účinnosť nariadenia (vrátane štatútu) sa navrhuje k rovnakému dátumu a je uvedená v čl. 2 . </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prílohe</w:t>
            </w:r>
            <w:r>
              <w:rPr>
                <w:rFonts w:ascii="Times" w:hAnsi="Times" w:cs="Times"/>
                <w:sz w:val="25"/>
                <w:szCs w:val="25"/>
              </w:rPr>
              <w:br/>
              <w:t>V čl. II druhom odseku odkaz 2 vložiť na konci za bodku. V poznámke pod čiarou k odkazu 2 dať na konci vety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prílohe č. I</w:t>
            </w:r>
            <w:r>
              <w:rPr>
                <w:rFonts w:ascii="Times" w:hAnsi="Times" w:cs="Times"/>
                <w:sz w:val="25"/>
                <w:szCs w:val="25"/>
              </w:rPr>
              <w:br/>
              <w:t xml:space="preserve">V prílohe čl.I ods. 1 na záver navrhujeme pripojiť tieto slová „a jeho ochranného pásma“ Odôvodnenie: Kúpeľné mesto sa nachádza v D zóne Pieninského národného parku aj v jeho ochrannom pásme.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všeobecne</w:t>
            </w:r>
            <w:r>
              <w:rPr>
                <w:rFonts w:ascii="Times" w:hAnsi="Times" w:cs="Times"/>
                <w:sz w:val="25"/>
                <w:szCs w:val="25"/>
              </w:rPr>
              <w:br/>
              <w:t>Vzhľadom na to, že kúpeľné mesto sa nachádza v D zóne Pieninského národného parku a v jeho ochrannom pásme, kde v oboch prípadoch platí 2. Stupeň územnej ochrany v zmysle zákona č. 543/2002 Z. z. o ochrane prírody a krajiny v znení neskorších predpisov, navrhujeme spôsob a lokalizáciu prípadného označenia kúpeľného miesta resp. jeho ochranného pásma vopred konzultovať so Štátnou ochranou prírody Slovenskej republiky – Správou Pieninského národného parku so sídlom v Spišskej Starej Vsi (kontakty sú na http://www.sopsr.sk/web/?cl=11209).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t xml:space="preserve">Predkladateľ berie túto všeobecnú pripomienku resp. odporúčanie na vedomie, avšak jej realizácia bude aktuálna až v rámci označovania hraníc kúpeľného miesta a hraníc kúpeľného územia </w:t>
            </w: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r w:rsidR="00FA750E">
        <w:trPr>
          <w:divId w:val="14168283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750E" w:rsidRDefault="00FA750E">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4B" w:rsidRDefault="007E364B" w:rsidP="000A67D5">
      <w:pPr>
        <w:spacing w:after="0" w:line="240" w:lineRule="auto"/>
      </w:pPr>
      <w:r>
        <w:separator/>
      </w:r>
    </w:p>
  </w:endnote>
  <w:endnote w:type="continuationSeparator" w:id="0">
    <w:p w:rsidR="007E364B" w:rsidRDefault="007E364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4B" w:rsidRDefault="007E364B" w:rsidP="000A67D5">
      <w:pPr>
        <w:spacing w:after="0" w:line="240" w:lineRule="auto"/>
      </w:pPr>
      <w:r>
        <w:separator/>
      </w:r>
    </w:p>
  </w:footnote>
  <w:footnote w:type="continuationSeparator" w:id="0">
    <w:p w:rsidR="007E364B" w:rsidRDefault="007E364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A0775"/>
    <w:rsid w:val="00532574"/>
    <w:rsid w:val="0059081C"/>
    <w:rsid w:val="005E7C53"/>
    <w:rsid w:val="00642FB8"/>
    <w:rsid w:val="006A3681"/>
    <w:rsid w:val="007156F5"/>
    <w:rsid w:val="007A1010"/>
    <w:rsid w:val="007B7F1A"/>
    <w:rsid w:val="007D7AE6"/>
    <w:rsid w:val="007E364B"/>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A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0487">
      <w:bodyDiv w:val="1"/>
      <w:marLeft w:val="0"/>
      <w:marRight w:val="0"/>
      <w:marTop w:val="0"/>
      <w:marBottom w:val="0"/>
      <w:divBdr>
        <w:top w:val="none" w:sz="0" w:space="0" w:color="auto"/>
        <w:left w:val="none" w:sz="0" w:space="0" w:color="auto"/>
        <w:bottom w:val="none" w:sz="0" w:space="0" w:color="auto"/>
        <w:right w:val="none" w:sz="0" w:space="0" w:color="auto"/>
      </w:divBdr>
    </w:div>
    <w:div w:id="1416828388">
      <w:bodyDiv w:val="1"/>
      <w:marLeft w:val="0"/>
      <w:marRight w:val="0"/>
      <w:marTop w:val="0"/>
      <w:marBottom w:val="0"/>
      <w:divBdr>
        <w:top w:val="none" w:sz="0" w:space="0" w:color="auto"/>
        <w:left w:val="none" w:sz="0" w:space="0" w:color="auto"/>
        <w:bottom w:val="none" w:sz="0" w:space="0" w:color="auto"/>
        <w:right w:val="none" w:sz="0" w:space="0" w:color="auto"/>
      </w:divBdr>
    </w:div>
    <w:div w:id="1647511734">
      <w:bodyDiv w:val="1"/>
      <w:marLeft w:val="0"/>
      <w:marRight w:val="0"/>
      <w:marTop w:val="0"/>
      <w:marBottom w:val="0"/>
      <w:divBdr>
        <w:top w:val="none" w:sz="0" w:space="0" w:color="auto"/>
        <w:left w:val="none" w:sz="0" w:space="0" w:color="auto"/>
        <w:bottom w:val="none" w:sz="0" w:space="0" w:color="auto"/>
        <w:right w:val="none" w:sz="0" w:space="0" w:color="auto"/>
      </w:divBdr>
    </w:div>
    <w:div w:id="1680237038">
      <w:bodyDiv w:val="1"/>
      <w:marLeft w:val="0"/>
      <w:marRight w:val="0"/>
      <w:marTop w:val="0"/>
      <w:marBottom w:val="0"/>
      <w:divBdr>
        <w:top w:val="none" w:sz="0" w:space="0" w:color="auto"/>
        <w:left w:val="none" w:sz="0" w:space="0" w:color="auto"/>
        <w:bottom w:val="none" w:sz="0" w:space="0" w:color="auto"/>
        <w:right w:val="none" w:sz="0" w:space="0" w:color="auto"/>
      </w:divBdr>
    </w:div>
    <w:div w:id="1867013029">
      <w:bodyDiv w:val="1"/>
      <w:marLeft w:val="0"/>
      <w:marRight w:val="0"/>
      <w:marTop w:val="0"/>
      <w:marBottom w:val="0"/>
      <w:divBdr>
        <w:top w:val="none" w:sz="0" w:space="0" w:color="auto"/>
        <w:left w:val="none" w:sz="0" w:space="0" w:color="auto"/>
        <w:bottom w:val="none" w:sz="0" w:space="0" w:color="auto"/>
        <w:right w:val="none" w:sz="0" w:space="0" w:color="auto"/>
      </w:divBdr>
    </w:div>
    <w:div w:id="1928926285">
      <w:bodyDiv w:val="1"/>
      <w:marLeft w:val="0"/>
      <w:marRight w:val="0"/>
      <w:marTop w:val="0"/>
      <w:marBottom w:val="0"/>
      <w:divBdr>
        <w:top w:val="none" w:sz="0" w:space="0" w:color="auto"/>
        <w:left w:val="none" w:sz="0" w:space="0" w:color="auto"/>
        <w:bottom w:val="none" w:sz="0" w:space="0" w:color="auto"/>
        <w:right w:val="none" w:sz="0" w:space="0" w:color="auto"/>
      </w:divBdr>
    </w:div>
    <w:div w:id="2111006400">
      <w:bodyDiv w:val="1"/>
      <w:marLeft w:val="0"/>
      <w:marRight w:val="0"/>
      <w:marTop w:val="0"/>
      <w:marBottom w:val="0"/>
      <w:divBdr>
        <w:top w:val="none" w:sz="0" w:space="0" w:color="auto"/>
        <w:left w:val="none" w:sz="0" w:space="0" w:color="auto"/>
        <w:bottom w:val="none" w:sz="0" w:space="0" w:color="auto"/>
        <w:right w:val="none" w:sz="0" w:space="0" w:color="auto"/>
      </w:divBdr>
    </w:div>
    <w:div w:id="21254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9.2016 12:03:41"/>
    <f:field ref="objchangedby" par="" text="Administrator, System"/>
    <f:field ref="objmodifiedat" par="" text="27.9.2016 12:03: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1554</Words>
  <Characters>8862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2016-09-28T11:40:00Z</dcterms:created>
  <dcterms:modified xsi:type="dcterms:W3CDTF">2016-09-28T11:40:00Z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uznáva kúpeľné miesto Červený Kláštor a vydáva Štatút kúpeľného miesta Červený Kláštor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 na základe § 35 ods. 10  zákona č. 538/2005 Z. z. a návrhu príslušnej obce podľa § 35 ods. 1 zákona č. 538/2005 Z. z.      _x000d_
_x000d_
</vt:lpwstr>
  </property>
  <property fmtid="{D5CDD505-2E9C-101B-9397-08002B2CF9AE}" pid="22" name="FSC#SKEDITIONSLOVLEX@103.510:plnynazovpredpis">
    <vt:lpwstr> Nariadenie vlády  Slovenskej republiky, ktorým sa uznáva kúpeľné miesto Červený Kláštor a vydáva Štatút kúpeľného miesta Červený Kláštor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S06728-OL-2016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LP/2016/819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uznáva kúpeľné miesto Červený Kláštor a vydáva Štatút kúpeľného miesta Červený Kláštor.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uznáva kúpeľné miesto Červený Kláštor a vydáva Štatút kúpeľného miesta Červený Kláštor, sa predkladá ako iniciatívny návrh na základe § 35 ods. 10 &amp;nbsp;zákona č. 538/2005 Z. z. o&amp;nbsp;prírodných l</vt:lpwstr>
  </property>
  <property fmtid="{D5CDD505-2E9C-101B-9397-08002B2CF9AE}" pid="149" name="FSC#COOSYSTEM@1.1:Container">
    <vt:lpwstr>COO.2145.1000.3.1627358</vt:lpwstr>
  </property>
  <property fmtid="{D5CDD505-2E9C-101B-9397-08002B2CF9AE}" pid="150" name="FSC#FSCFOLIO@1.1001:docpropproject">
    <vt:lpwstr/>
  </property>
  <property fmtid="{D5CDD505-2E9C-101B-9397-08002B2CF9AE}" pid="151" name="FSC#SKEDITIONSLOVLEX@103.510:aktualnyrok">
    <vt:lpwstr>2016</vt:lpwstr>
  </property>
</Properties>
</file>