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B47C25" w:rsidRDefault="00B47C2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B47C25">
        <w:trPr>
          <w:divId w:val="19352370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1.  Základné údaje</w:t>
            </w:r>
          </w:p>
        </w:tc>
      </w:tr>
      <w:tr w:rsidR="00B47C25">
        <w:trPr>
          <w:divId w:val="19352370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Názov materiálu</w:t>
            </w:r>
          </w:p>
        </w:tc>
      </w:tr>
      <w:tr w:rsidR="00B47C25">
        <w:trPr>
          <w:divId w:val="19352370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Zákon,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tc>
      </w:tr>
      <w:tr w:rsidR="00B47C25">
        <w:trPr>
          <w:divId w:val="19352370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Predkladateľ (a spolupredkladateľ)</w:t>
            </w:r>
          </w:p>
        </w:tc>
      </w:tr>
      <w:tr w:rsidR="00B47C25">
        <w:trPr>
          <w:divId w:val="19352370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Ministerstvo školstva, vedy, výskumu a športu Slovenskej republiky</w:t>
            </w:r>
          </w:p>
        </w:tc>
      </w:tr>
      <w:tr w:rsidR="00B47C25">
        <w:trPr>
          <w:divId w:val="193523705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47C25" w:rsidRDefault="00B47C2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B47C25">
        <w:trPr>
          <w:divId w:val="19352370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B47C25">
        <w:trPr>
          <w:divId w:val="19352370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B47C25">
        <w:trPr>
          <w:divId w:val="193523705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p>
        </w:tc>
      </w:tr>
      <w:tr w:rsidR="00B47C25">
        <w:trPr>
          <w:divId w:val="19352370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Začiatok:    2.8.2016</w:t>
            </w:r>
            <w:r>
              <w:rPr>
                <w:rFonts w:ascii="Times" w:hAnsi="Times" w:cs="Times"/>
                <w:sz w:val="20"/>
                <w:szCs w:val="20"/>
              </w:rPr>
              <w:br/>
              <w:t>Ukončenie: 5.8.2016</w:t>
            </w:r>
          </w:p>
        </w:tc>
      </w:tr>
      <w:tr w:rsidR="00B47C25">
        <w:trPr>
          <w:divId w:val="19352370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08.08.2016</w:t>
            </w:r>
          </w:p>
        </w:tc>
      </w:tr>
      <w:tr w:rsidR="00B47C25">
        <w:trPr>
          <w:divId w:val="193523705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14.09.2016</w:t>
            </w:r>
          </w:p>
        </w:tc>
      </w:tr>
    </w:tbl>
    <w:p w:rsidR="00325440" w:rsidRDefault="00325440" w:rsidP="00C579E9">
      <w:pPr>
        <w:pStyle w:val="Normlnywebov"/>
        <w:spacing w:before="0" w:beforeAutospacing="0" w:after="0" w:afterAutospacing="0"/>
        <w:rPr>
          <w:bCs/>
          <w:sz w:val="22"/>
          <w:szCs w:val="22"/>
        </w:rPr>
      </w:pPr>
    </w:p>
    <w:p w:rsidR="00B47C25" w:rsidRDefault="00B47C2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B47C25">
        <w:trPr>
          <w:divId w:val="12440240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2.  Definícia problému</w:t>
            </w:r>
          </w:p>
        </w:tc>
      </w:tr>
      <w:tr w:rsidR="00B47C25">
        <w:trPr>
          <w:divId w:val="12440240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1. Nedostatok finančných prostriedkov, ktorý sa prejavuje aj tým, že fond dokázal v akademických/školských rokoch 2013/2014 a 2014/2015 uspokojiť len necelých 60% žiadateľov a ktorý je ovplyvnený:</w:t>
            </w:r>
            <w:r>
              <w:rPr>
                <w:rFonts w:ascii="Times" w:hAnsi="Times" w:cs="Times"/>
                <w:sz w:val="20"/>
                <w:szCs w:val="20"/>
              </w:rPr>
              <w:br/>
              <w:t>- dlhodobým neúmerný pokles výnosov štátnych dlhopisov s desaťročnou splatnosťou, podľa ktorých sa stanovuje výška úročenia poskytovaných pôžičiek,</w:t>
            </w:r>
            <w:r>
              <w:rPr>
                <w:rFonts w:ascii="Times" w:hAnsi="Times" w:cs="Times"/>
                <w:sz w:val="20"/>
                <w:szCs w:val="20"/>
              </w:rPr>
              <w:br/>
              <w:t>- zákazom zhodnocovania voľných finančných prostriedkov fondu v komerčných bankách,</w:t>
            </w:r>
            <w:r>
              <w:rPr>
                <w:rFonts w:ascii="Times" w:hAnsi="Times" w:cs="Times"/>
                <w:sz w:val="20"/>
                <w:szCs w:val="20"/>
              </w:rPr>
              <w:br/>
              <w:t>- nemožnosťou od júna 2013 vyberať poplatky za vedenie a správu pôžičkových účtov,</w:t>
            </w:r>
            <w:r>
              <w:rPr>
                <w:rFonts w:ascii="Times" w:hAnsi="Times" w:cs="Times"/>
                <w:sz w:val="20"/>
                <w:szCs w:val="20"/>
              </w:rPr>
              <w:br/>
              <w:t>- objemom prostriedkov, o ktoré sa každoročne znižuje nesplatená istina pôžičiek poskytnutých pedagógom,</w:t>
            </w:r>
            <w:r>
              <w:rPr>
                <w:rFonts w:ascii="Times" w:hAnsi="Times" w:cs="Times"/>
                <w:sz w:val="20"/>
                <w:szCs w:val="20"/>
              </w:rPr>
              <w:br/>
              <w:t>- dĺžkou odkladu splátok pôžičiek najmä v prípade študentov, čo sa prejavuje odloženou návratnosťou finančných prostriedkov poskytnutých študentom v priemere o cca 3,5 roka,</w:t>
            </w:r>
            <w:r>
              <w:rPr>
                <w:rFonts w:ascii="Times" w:hAnsi="Times" w:cs="Times"/>
                <w:sz w:val="20"/>
                <w:szCs w:val="20"/>
              </w:rPr>
              <w:br/>
              <w:t>- nedostatočnou možnosťou alternatívneho viaczdrojového financovania.</w:t>
            </w:r>
            <w:r>
              <w:rPr>
                <w:rFonts w:ascii="Times" w:hAnsi="Times" w:cs="Times"/>
                <w:sz w:val="20"/>
                <w:szCs w:val="20"/>
              </w:rPr>
              <w:br/>
              <w:t>2. Úprava podmienok poskytovania pôžičiek v záujme zohľadnenia sociálnej situácie potenciálnych žiadateľov o pôžičku.</w:t>
            </w:r>
            <w:r>
              <w:rPr>
                <w:rFonts w:ascii="Times" w:hAnsi="Times" w:cs="Times"/>
                <w:sz w:val="20"/>
                <w:szCs w:val="20"/>
              </w:rPr>
              <w:br/>
              <w:t>3. Podpora novej skupiny žiadateľov - mladých vysokoškolských učiteľov, výskumných pracovníkov a umeleckých pracovníkov do 35 rokov, čo prispeje k ich zotrvaniu na vysokých školách.</w:t>
            </w:r>
            <w:r>
              <w:rPr>
                <w:rFonts w:ascii="Times" w:hAnsi="Times" w:cs="Times"/>
                <w:sz w:val="20"/>
                <w:szCs w:val="20"/>
              </w:rPr>
              <w:br/>
              <w:t>4. Odbúranie administratívnej záťaže a skrátenie dĺžky trvania procesu pri schvaľovaní a správe pôžičiek.</w:t>
            </w:r>
          </w:p>
        </w:tc>
      </w:tr>
      <w:tr w:rsidR="00B47C25">
        <w:trPr>
          <w:divId w:val="12440240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3.  Ciele a výsledný stav</w:t>
            </w:r>
          </w:p>
        </w:tc>
      </w:tr>
      <w:tr w:rsidR="00B47C25">
        <w:trPr>
          <w:divId w:val="12440240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Udržateľnosť hlavnej činnosti fondu, ktorým je poskytovanie pôžičiek prostredníctvom zvýšenia úrokovej miery pôžičiek a reálnej možnosti viaczdrojového krytia výdavkov na poskytovanie pôžičiek.</w:t>
            </w:r>
            <w:r>
              <w:rPr>
                <w:rFonts w:ascii="Times" w:hAnsi="Times" w:cs="Times"/>
                <w:sz w:val="20"/>
                <w:szCs w:val="20"/>
              </w:rPr>
              <w:br/>
              <w:t>Rozšírenie možnosti poskytovania pôžičiek vybraným skupinám žiadateľov - vysokoškolským učiteľom, výskumným pracovníkom a umeleckým pracovníkom do 35 rokov.</w:t>
            </w:r>
          </w:p>
        </w:tc>
      </w:tr>
      <w:tr w:rsidR="00B47C25">
        <w:trPr>
          <w:divId w:val="12440240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4.  Dotknuté subjekty</w:t>
            </w:r>
          </w:p>
        </w:tc>
      </w:tr>
      <w:tr w:rsidR="00B47C25">
        <w:trPr>
          <w:divId w:val="12440240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Priamo dotknutí – klienti fondu, tri skupiny: 1. študenti vysokých škôl vo všetkých stupňoch vysokoškolského štúdia, 2. pedagogickí zamestnanci a odborní zamestnanci podľa zákona č. 317/2009 Z. z. v znení neskorších predpisov, 3. vysokoškolskí učitelia, vedeckí pracovníci a umeleckí pracovníci na vysokej škole do 35 rokov veku.</w:t>
            </w:r>
            <w:r>
              <w:rPr>
                <w:rFonts w:ascii="Times" w:hAnsi="Times" w:cs="Times"/>
                <w:sz w:val="20"/>
                <w:szCs w:val="20"/>
              </w:rPr>
              <w:br/>
              <w:t>Nepriamo dotknutí – 1. potenciálni klienti fondu, teda žiadatelia o pôžičku, 2. ručitelia klientov fondu.</w:t>
            </w:r>
          </w:p>
        </w:tc>
      </w:tr>
      <w:tr w:rsidR="00B47C25">
        <w:trPr>
          <w:divId w:val="12440240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5.  Alternatívne riešenia</w:t>
            </w:r>
          </w:p>
        </w:tc>
      </w:tr>
      <w:tr w:rsidR="00B47C25">
        <w:trPr>
          <w:divId w:val="12440240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Riešenie nedostatku finančných prostriedkov pri zvýšení úrokovej miery (nulový variant) a pri zvýšení úrokovej miery v kombinácii výlučne s poskytnutím dotácie zo štátneho rozpočtu (variant A) a výlučne s prijatím úveru z banky (variant B).</w:t>
            </w:r>
          </w:p>
        </w:tc>
      </w:tr>
      <w:tr w:rsidR="00B47C25">
        <w:trPr>
          <w:divId w:val="12440240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6.  Vykonávacie predpisy</w:t>
            </w:r>
          </w:p>
        </w:tc>
      </w:tr>
      <w:tr w:rsidR="00B47C25">
        <w:trPr>
          <w:divId w:val="12440240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t>bezpredmetné</w:t>
            </w:r>
          </w:p>
        </w:tc>
      </w:tr>
      <w:tr w:rsidR="00B47C25">
        <w:trPr>
          <w:divId w:val="12440240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xml:space="preserve">  7.  Transpozícia práva EÚ </w:t>
            </w:r>
          </w:p>
        </w:tc>
      </w:tr>
      <w:tr w:rsidR="00B47C25">
        <w:trPr>
          <w:divId w:val="12440240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bezpredmetné</w:t>
            </w:r>
          </w:p>
        </w:tc>
      </w:tr>
      <w:tr w:rsidR="00B47C25">
        <w:trPr>
          <w:divId w:val="124402406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8.  Preskúmanie účelnosti**</w:t>
            </w:r>
          </w:p>
        </w:tc>
      </w:tr>
      <w:tr w:rsidR="00B47C25">
        <w:trPr>
          <w:divId w:val="124402406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B47C25" w:rsidRDefault="00B47C2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B47C25">
        <w:trPr>
          <w:divId w:val="96897761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0"/>
                <w:szCs w:val="20"/>
              </w:rPr>
            </w:pPr>
            <w:r>
              <w:rPr>
                <w:rFonts w:ascii="Times" w:hAnsi="Times" w:cs="Times"/>
                <w:b/>
                <w:bCs/>
                <w:sz w:val="20"/>
                <w:szCs w:val="20"/>
              </w:rPr>
              <w:t>  9.   Vplyvy navrhovaného materiálu</w:t>
            </w:r>
          </w:p>
        </w:tc>
      </w:tr>
      <w:tr w:rsidR="00B47C25">
        <w:trPr>
          <w:divId w:val="96897761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47C25" w:rsidRDefault="00B47C2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47C25">
        <w:trPr>
          <w:divId w:val="96897761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B47C25">
        <w:trPr>
          <w:divId w:val="96897761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47C25" w:rsidRDefault="00B47C2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47C25">
        <w:trPr>
          <w:divId w:val="96897761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47C25">
        <w:trPr>
          <w:divId w:val="96897761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47C25" w:rsidRDefault="00B47C2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47C25">
        <w:trPr>
          <w:divId w:val="96897761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47C25" w:rsidRDefault="00B47C2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47C25">
        <w:trPr>
          <w:divId w:val="96897761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47C25" w:rsidRDefault="00B47C2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47C25">
        <w:trPr>
          <w:divId w:val="96897761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47C25" w:rsidRDefault="00B47C2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B47C25">
        <w:trPr>
          <w:divId w:val="96897761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47C25" w:rsidRDefault="00B47C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B47C25" w:rsidRDefault="00B47C2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B47C25">
        <w:trPr>
          <w:divId w:val="9624925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10.  Poznámky</w:t>
            </w:r>
          </w:p>
        </w:tc>
      </w:tr>
      <w:tr w:rsidR="00B47C25">
        <w:trPr>
          <w:divId w:val="96249259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Poznámky k financovaniu návrhu sú uvedené v samostatnej prílohe.</w:t>
            </w:r>
          </w:p>
        </w:tc>
      </w:tr>
      <w:tr w:rsidR="00B47C25">
        <w:trPr>
          <w:divId w:val="9624925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11.  Kontakt na spracovateľa</w:t>
            </w:r>
          </w:p>
        </w:tc>
      </w:tr>
      <w:tr w:rsidR="00B47C25">
        <w:trPr>
          <w:divId w:val="96249259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Mgr. Viliam Bokol, odbor legislatívy a aproximácie práva, viliam.bokol@minedu.sk, 02/59374412</w:t>
            </w:r>
          </w:p>
        </w:tc>
      </w:tr>
      <w:tr w:rsidR="00B47C25">
        <w:trPr>
          <w:divId w:val="9624925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12.  Zdroje</w:t>
            </w:r>
          </w:p>
        </w:tc>
      </w:tr>
      <w:tr w:rsidR="00B47C25">
        <w:trPr>
          <w:divId w:val="96249259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Úroková miera ECB, dostupná na http://www.nbs.sk/sk/statisticke-udaje/menova-a-bankova-statistika/statistika-dlhodobych-urokovych-sadzieb.</w:t>
            </w:r>
            <w:r>
              <w:rPr>
                <w:rFonts w:ascii="Times" w:hAnsi="Times" w:cs="Times"/>
                <w:sz w:val="20"/>
                <w:szCs w:val="20"/>
              </w:rPr>
              <w:br/>
              <w:t>Štatistické údaje MŠVVaŠ SR z Centrálneho registra vysokých škôl.</w:t>
            </w:r>
            <w:r>
              <w:rPr>
                <w:rFonts w:ascii="Times" w:hAnsi="Times" w:cs="Times"/>
                <w:sz w:val="20"/>
                <w:szCs w:val="20"/>
              </w:rPr>
              <w:br/>
              <w:t>Výročné správy Fondu na podporu vzdelávania za roky 2013 až 2015 dostupné na www.fnpv.sk.</w:t>
            </w:r>
            <w:r>
              <w:rPr>
                <w:rFonts w:ascii="Times" w:hAnsi="Times" w:cs="Times"/>
                <w:sz w:val="20"/>
                <w:szCs w:val="20"/>
              </w:rPr>
              <w:br/>
              <w:t>Štatistické údaje oddelenia štatistiky a služieb Centra vedecko-technických informácií.</w:t>
            </w:r>
            <w:r>
              <w:rPr>
                <w:rFonts w:ascii="Times" w:hAnsi="Times" w:cs="Times"/>
                <w:sz w:val="20"/>
                <w:szCs w:val="20"/>
              </w:rPr>
              <w:br/>
              <w:t>Rozpočet Fondu na podporu vzdelávania na rok 2016.</w:t>
            </w:r>
          </w:p>
        </w:tc>
      </w:tr>
      <w:tr w:rsidR="00B47C25">
        <w:trPr>
          <w:divId w:val="9624925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47C25" w:rsidRDefault="00B47C25">
            <w:pPr>
              <w:rPr>
                <w:rFonts w:ascii="Times" w:hAnsi="Times" w:cs="Times"/>
                <w:b/>
                <w:bCs/>
                <w:sz w:val="22"/>
                <w:szCs w:val="22"/>
              </w:rPr>
            </w:pPr>
            <w:r>
              <w:rPr>
                <w:rFonts w:ascii="Times" w:hAnsi="Times" w:cs="Times"/>
                <w:b/>
                <w:bCs/>
                <w:sz w:val="22"/>
                <w:szCs w:val="22"/>
              </w:rPr>
              <w:t>  13.  Stanovisko Komisie pre posudzovanie vybraných vplyvov z PPK</w:t>
            </w:r>
          </w:p>
        </w:tc>
      </w:tr>
      <w:tr w:rsidR="00B47C25">
        <w:trPr>
          <w:divId w:val="96249259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B47C25" w:rsidRDefault="00B47C25">
            <w:pPr>
              <w:rPr>
                <w:rFonts w:ascii="Times" w:hAnsi="Times" w:cs="Times"/>
                <w:sz w:val="20"/>
                <w:szCs w:val="20"/>
              </w:rPr>
            </w:pPr>
            <w:r>
              <w:rPr>
                <w:rFonts w:ascii="Times" w:hAnsi="Times" w:cs="Times"/>
                <w:sz w:val="20"/>
                <w:szCs w:val="20"/>
              </w:rPr>
              <w:t>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47C25"/>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0597650-64BA-4732-8BBF-A9AA639B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92593">
      <w:bodyDiv w:val="1"/>
      <w:marLeft w:val="0"/>
      <w:marRight w:val="0"/>
      <w:marTop w:val="0"/>
      <w:marBottom w:val="0"/>
      <w:divBdr>
        <w:top w:val="none" w:sz="0" w:space="0" w:color="auto"/>
        <w:left w:val="none" w:sz="0" w:space="0" w:color="auto"/>
        <w:bottom w:val="none" w:sz="0" w:space="0" w:color="auto"/>
        <w:right w:val="none" w:sz="0" w:space="0" w:color="auto"/>
      </w:divBdr>
    </w:div>
    <w:div w:id="96897761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44024061">
      <w:bodyDiv w:val="1"/>
      <w:marLeft w:val="0"/>
      <w:marRight w:val="0"/>
      <w:marTop w:val="0"/>
      <w:marBottom w:val="0"/>
      <w:divBdr>
        <w:top w:val="none" w:sz="0" w:space="0" w:color="auto"/>
        <w:left w:val="none" w:sz="0" w:space="0" w:color="auto"/>
        <w:bottom w:val="none" w:sz="0" w:space="0" w:color="auto"/>
        <w:right w:val="none" w:sz="0" w:space="0" w:color="auto"/>
      </w:divBdr>
    </w:div>
    <w:div w:id="19352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9.9.2016 14:53:33"/>
    <f:field ref="objchangedby" par="" text="Administrator, System"/>
    <f:field ref="objmodifiedat" par="" text="9.9.2016 14:53: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7504</Characters>
  <Application>Microsoft Office Word</Application>
  <DocSecurity>4</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8803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2016-09-09T12:53:00Z</dcterms:created>
  <dc:creator>grosjarova</dc:creator>
  <lastModifiedBy>ms.slx.P.fscsrv</lastModifiedBy>
  <dcterms:modified xsi:type="dcterms:W3CDTF">2016-09-09T12:53:00Z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právo_x000d__x000a_Finančné právo_x000d__x000a_Školstvo a vzdelávanie_x000d__x000a_Rozpočtové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rezortcislopredpis" pid="17" fmtid="{D5CDD505-2E9C-101B-9397-08002B2CF9AE}">
    <vt:lpwstr>2016-18976/33466:3-56AA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LP/2016/794</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v čl. 6 písm. e), čl. 20, 21, čl. 67 ods. 1 a 4, čl. 81 ods. 1, čl. 165 ods. 1 Zmluvy o fungovaní Európskej únie (Ú.v. EÚ C 83, 30.3. 2010)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 rozsudok vo veci C 220/12 Andreas Ingemar Thiele Meneses proti Region Hannover, 2013</vt:lpwstr>
  </property>
  <property name="FSC#SKEDITIONSLOVLEX@103.510:AttrStrListDocPropLehotaPrebratieSmernice" pid="42" fmtid="{D5CDD505-2E9C-101B-9397-08002B2CF9AE}">
    <vt:lpwstr>-</vt:lpwstr>
  </property>
  <property name="FSC#SKEDITIONSLOVLEX@103.510:AttrStrListDocPropLehotaNaPredlozenie" pid="43" fmtid="{D5CDD505-2E9C-101B-9397-08002B2CF9AE}">
    <vt:lpwstr>-</vt:lpwstr>
  </property>
  <property name="FSC#SKEDITIONSLOVLEX@103.510:AttrStrListDocPropInfoZaciatokKonania" pid="44" fmtid="{D5CDD505-2E9C-101B-9397-08002B2CF9AE}">
    <vt:lpwstr>-</vt:lpwstr>
  </property>
  <property name="FSC#SKEDITIONSLOVLEX@103.510:AttrStrListDocPropInfoUzPreberanePP" pid="45" fmtid="{D5CDD505-2E9C-101B-9397-08002B2CF9AE}">
    <vt:lpwstr>-</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
  </property>
  <property name="FSC#SKEDITIONSLOVLEX@103.510:AttrDateDocPropZaciatokPKK" pid="48" fmtid="{D5CDD505-2E9C-101B-9397-08002B2CF9AE}">
    <vt:lpwstr>2. 8. 2016</vt:lpwstr>
  </property>
  <property name="FSC#SKEDITIONSLOVLEX@103.510:AttrDateDocPropUkonceniePKK" pid="49" fmtid="{D5CDD505-2E9C-101B-9397-08002B2CF9AE}">
    <vt:lpwstr>5. 8. 2016</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Pozitívne_x000d__x000a_Negatívne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Poznámky k financovaniu návrhu sú uvedené v samostatnej prílohe.</vt:lpwstr>
  </property>
  <property name="FSC#SKEDITIONSLOVLEX@103.510:AttrStrListDocPropAltRiesenia" pid="56"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57"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58"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COOSYSTEM@1.1:Container" pid="130" fmtid="{D5CDD505-2E9C-101B-9397-08002B2CF9AE}">
    <vt:lpwstr>COO.2145.1000.3.1608986</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cisloparlamenttlac" pid="134" fmtid="{D5CDD505-2E9C-101B-9397-08002B2CF9AE}">
    <vt:lpwstr/>
  </property>
  <property name="FSC#SKEDITIONSLOVLEX@103.510:nazovpredpis1" pid="135" fmtid="{D5CDD505-2E9C-101B-9397-08002B2CF9AE}">
    <vt:lpwstr>edpisov</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ch predpisov</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hlavný štátny radca</vt:lpwstr>
  </property>
  <property name="FSC#SKEDITIONSLOVLEX@103.510:funkciaPredAkuzativ" pid="142" fmtid="{D5CDD505-2E9C-101B-9397-08002B2CF9AE}">
    <vt:lpwstr>hlavnému štátnemu radcovi</vt:lpwstr>
  </property>
  <property name="FSC#SKEDITIONSLOVLEX@103.510:funkciaPredDativ" pid="143" fmtid="{D5CDD505-2E9C-101B-9397-08002B2CF9AE}">
    <vt:lpwstr>hlavného štátneho radcu</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2016</vt:lpwstr>
  </property>
</Properties>
</file>