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F83F06" w14:paraId="1FFFBB64" w14:textId="77777777" w:rsidTr="00946CED">
        <w:trPr>
          <w:trHeight w:val="1417"/>
        </w:trPr>
        <w:tc>
          <w:tcPr>
            <w:tcW w:w="4928" w:type="dxa"/>
          </w:tcPr>
          <w:p w14:paraId="71388083" w14:textId="09B53C7F" w:rsidR="000C2162" w:rsidRDefault="00E27816" w:rsidP="00946CED">
            <w:pPr>
              <w:rPr>
                <w:rFonts w:ascii="Consolas" w:hAnsi="Consolas" w:cs="Consolas"/>
                <w:lang w:eastAsia="sk-SK"/>
              </w:rPr>
            </w:pPr>
            <w:bookmarkStart w:id="0" w:name="_GoBack"/>
            <w:bookmarkEnd w:id="0"/>
            <w:r>
              <w:rPr>
                <w:rFonts w:ascii="Times" w:hAnsi="Times" w:cs="Times"/>
                <w:b/>
                <w:bCs/>
                <w:sz w:val="25"/>
                <w:szCs w:val="25"/>
                <w:u w:val="single"/>
              </w:rPr>
              <w:t>MINISTERSTVO ŠKOLSTVA, VEDY, VÝSKUMU A ŠPORTU SLOVENSKEJ REPUBLIKY</w:t>
            </w:r>
          </w:p>
          <w:p w14:paraId="7DA5F24F" w14:textId="1FA70CBD" w:rsidR="00946CED" w:rsidRPr="008E4F14" w:rsidRDefault="00946CED" w:rsidP="00946CED">
            <w:pPr>
              <w:rPr>
                <w:sz w:val="25"/>
                <w:szCs w:val="25"/>
              </w:rPr>
            </w:pPr>
            <w:r w:rsidRPr="008E4F14">
              <w:rPr>
                <w:sz w:val="25"/>
                <w:szCs w:val="25"/>
              </w:rPr>
              <w:t xml:space="preserve">Číslo: </w:t>
            </w:r>
            <w:r w:rsidRPr="008E4F14">
              <w:rPr>
                <w:sz w:val="25"/>
                <w:szCs w:val="25"/>
              </w:rPr>
              <w:tab/>
            </w:r>
            <w:r w:rsidRPr="008E4F14">
              <w:rPr>
                <w:sz w:val="25"/>
                <w:szCs w:val="25"/>
              </w:rPr>
              <w:fldChar w:fldCharType="begin"/>
            </w:r>
            <w:r w:rsidRPr="008E4F14">
              <w:rPr>
                <w:sz w:val="25"/>
                <w:szCs w:val="25"/>
              </w:rPr>
              <w:instrText xml:space="preserve"> DOCPROPERTY  FSC#SKEDITIONSLOVLEX@103.510:rezortcislopredpis  \* MERGEFORMAT </w:instrText>
            </w:r>
            <w:r w:rsidRPr="008E4F14">
              <w:rPr>
                <w:sz w:val="25"/>
                <w:szCs w:val="25"/>
              </w:rPr>
              <w:fldChar w:fldCharType="end"/>
            </w:r>
          </w:p>
          <w:p w14:paraId="264E2C21" w14:textId="77777777" w:rsidR="00F83F06" w:rsidRDefault="00F83F06" w:rsidP="00861CC6">
            <w:pPr>
              <w:jc w:val="center"/>
              <w:rPr>
                <w:b/>
                <w:sz w:val="25"/>
                <w:szCs w:val="25"/>
                <w:u w:val="single"/>
              </w:rPr>
            </w:pPr>
          </w:p>
        </w:tc>
      </w:tr>
    </w:tbl>
    <w:p w14:paraId="7474D658" w14:textId="77777777" w:rsidR="0062016A" w:rsidRPr="00846CE4" w:rsidRDefault="0062016A" w:rsidP="0062016A">
      <w:pPr>
        <w:pStyle w:val="Zkladntext2"/>
        <w:jc w:val="both"/>
        <w:rPr>
          <w:sz w:val="25"/>
          <w:szCs w:val="25"/>
        </w:rPr>
      </w:pPr>
      <w:r w:rsidRPr="00846CE4">
        <w:rPr>
          <w:sz w:val="25"/>
          <w:szCs w:val="25"/>
        </w:rPr>
        <w:t>Materiál na rokovanie Legislatívnej rady vlády Slovenskej republiky</w:t>
      </w:r>
    </w:p>
    <w:p w14:paraId="57C33D04" w14:textId="77777777" w:rsidR="00D52766" w:rsidRPr="008E4F14" w:rsidRDefault="00D52766" w:rsidP="00D52766">
      <w:pPr>
        <w:pStyle w:val="Zkladntext2"/>
        <w:jc w:val="both"/>
        <w:rPr>
          <w:sz w:val="25"/>
          <w:szCs w:val="25"/>
        </w:rPr>
      </w:pPr>
    </w:p>
    <w:p w14:paraId="2218476A" w14:textId="526FCBEB" w:rsidR="0012409A" w:rsidRPr="00D52766" w:rsidRDefault="00E27816" w:rsidP="00D52766">
      <w:pPr>
        <w:pStyle w:val="Zkladntext2"/>
        <w:ind w:left="60"/>
        <w:rPr>
          <w:b/>
          <w:sz w:val="25"/>
          <w:szCs w:val="25"/>
        </w:rPr>
      </w:pPr>
      <w:r>
        <w:rPr>
          <w:rFonts w:ascii="Times" w:hAnsi="Times" w:cs="Times"/>
          <w:b/>
          <w:bCs/>
          <w:sz w:val="25"/>
          <w:szCs w:val="25"/>
        </w:rPr>
        <w:t>Návrh</w:t>
      </w:r>
      <w:r>
        <w:rPr>
          <w:rFonts w:ascii="Times" w:hAnsi="Times" w:cs="Times"/>
          <w:b/>
          <w:bCs/>
          <w:sz w:val="25"/>
          <w:szCs w:val="25"/>
        </w:rPr>
        <w:br/>
      </w:r>
      <w:r>
        <w:rPr>
          <w:rFonts w:ascii="Times" w:hAnsi="Times" w:cs="Times"/>
          <w:b/>
          <w:bCs/>
          <w:sz w:val="25"/>
          <w:szCs w:val="25"/>
        </w:rPr>
        <w:br/>
        <w:t>Zákon</w:t>
      </w:r>
      <w:r>
        <w:rPr>
          <w:rFonts w:ascii="Times" w:hAnsi="Times" w:cs="Times"/>
          <w:b/>
          <w:bCs/>
          <w:sz w:val="25"/>
          <w:szCs w:val="25"/>
        </w:rPr>
        <w:br/>
      </w:r>
      <w:r>
        <w:rPr>
          <w:rFonts w:ascii="Times" w:hAnsi="Times" w:cs="Times"/>
          <w:b/>
          <w:bCs/>
          <w:sz w:val="25"/>
          <w:szCs w:val="25"/>
        </w:rPr>
        <w:br/>
        <w:t>z ... 2016,</w:t>
      </w:r>
      <w:r>
        <w:rPr>
          <w:rFonts w:ascii="Times" w:hAnsi="Times" w:cs="Times"/>
          <w:b/>
          <w:bCs/>
          <w:sz w:val="25"/>
          <w:szCs w:val="25"/>
        </w:rPr>
        <w:br/>
      </w:r>
      <w:r>
        <w:rPr>
          <w:rFonts w:ascii="Times" w:hAnsi="Times" w:cs="Times"/>
          <w:b/>
          <w:bCs/>
          <w:sz w:val="25"/>
          <w:szCs w:val="25"/>
        </w:rPr>
        <w:br/>
        <w:t>ktorým sa mení a dopĺňa zákon č. 440/2015 Z. z. o športe a o zmene a doplnení niektorých zákonov a ktorým sa mení zákon č. 552/2003 Z. z. o výkone práce vo verejnom záujme v znení neskorších predpisov</w:t>
      </w:r>
    </w:p>
    <w:p w14:paraId="142FD55E" w14:textId="77777777" w:rsidR="001E0CFD" w:rsidRPr="008E4F14" w:rsidRDefault="001E0CFD">
      <w:pPr>
        <w:pStyle w:val="Zkladntext2"/>
        <w:ind w:left="60"/>
        <w:rPr>
          <w:b/>
          <w:bCs/>
          <w:sz w:val="25"/>
          <w:szCs w:val="25"/>
        </w:rPr>
      </w:pPr>
      <w:r w:rsidRPr="008E4F14">
        <w:rPr>
          <w:b/>
          <w:bCs/>
          <w:sz w:val="25"/>
          <w:szCs w:val="25"/>
        </w:rPr>
        <w:t>___________________________________________________________</w:t>
      </w:r>
    </w:p>
    <w:p w14:paraId="4BA88F2D" w14:textId="77777777" w:rsidR="001E0CFD" w:rsidRPr="008E4F14" w:rsidRDefault="001E0CFD" w:rsidP="00D52766">
      <w:pPr>
        <w:pStyle w:val="Zkladntext2"/>
        <w:rPr>
          <w:sz w:val="25"/>
          <w:szCs w:val="25"/>
        </w:rPr>
      </w:pPr>
    </w:p>
    <w:tbl>
      <w:tblPr>
        <w:tblStyle w:val="Mriekatabuky"/>
        <w:tblW w:w="10159"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149"/>
      </w:tblGrid>
      <w:tr w:rsidR="00A56B40" w:rsidRPr="008E4F14" w14:paraId="4F71F17C" w14:textId="77777777" w:rsidTr="001D79DA">
        <w:trPr>
          <w:trHeight w:val="307"/>
        </w:trPr>
        <w:tc>
          <w:tcPr>
            <w:tcW w:w="5010" w:type="dxa"/>
          </w:tcPr>
          <w:p w14:paraId="16353520" w14:textId="3BFE1C2B" w:rsidR="00A56B40" w:rsidRPr="008E4F14" w:rsidRDefault="00A56B40" w:rsidP="00A56B40">
            <w:pPr>
              <w:pStyle w:val="Zkladntext2"/>
              <w:jc w:val="left"/>
              <w:rPr>
                <w:sz w:val="25"/>
                <w:szCs w:val="25"/>
              </w:rPr>
            </w:pPr>
            <w:r w:rsidRPr="008E4F14">
              <w:rPr>
                <w:sz w:val="25"/>
                <w:szCs w:val="25"/>
                <w:u w:val="single"/>
              </w:rPr>
              <w:t>Podnet:</w:t>
            </w:r>
          </w:p>
        </w:tc>
        <w:tc>
          <w:tcPr>
            <w:tcW w:w="5149" w:type="dxa"/>
          </w:tcPr>
          <w:p w14:paraId="1243D5E8" w14:textId="732D93AE" w:rsidR="00A56B40" w:rsidRPr="008E4F14" w:rsidRDefault="00A56B40" w:rsidP="00A56B40">
            <w:pPr>
              <w:pStyle w:val="Zkladntext2"/>
              <w:jc w:val="left"/>
              <w:rPr>
                <w:sz w:val="25"/>
                <w:szCs w:val="25"/>
              </w:rPr>
            </w:pPr>
            <w:r w:rsidRPr="008E4F14">
              <w:rPr>
                <w:sz w:val="25"/>
                <w:szCs w:val="25"/>
                <w:u w:val="single"/>
              </w:rPr>
              <w:t>Obsah materiálu:</w:t>
            </w:r>
          </w:p>
        </w:tc>
      </w:tr>
      <w:tr w:rsidR="00A56B40" w:rsidRPr="008E4F14" w14:paraId="55036A4D" w14:textId="77777777" w:rsidTr="001D79DA">
        <w:trPr>
          <w:trHeight w:val="4549"/>
        </w:trPr>
        <w:tc>
          <w:tcPr>
            <w:tcW w:w="5010" w:type="dxa"/>
          </w:tcPr>
          <w:p w14:paraId="6149F178" w14:textId="0A34DDC7" w:rsidR="00A56B40" w:rsidRPr="008E4F14" w:rsidRDefault="00E27816" w:rsidP="00E27816">
            <w:pPr>
              <w:pStyle w:val="Zkladntext2"/>
              <w:ind w:right="885"/>
              <w:jc w:val="left"/>
              <w:rPr>
                <w:sz w:val="25"/>
                <w:szCs w:val="25"/>
              </w:rPr>
            </w:pPr>
            <w:r>
              <w:rPr>
                <w:rFonts w:ascii="Times" w:hAnsi="Times" w:cs="Times"/>
                <w:sz w:val="25"/>
                <w:szCs w:val="25"/>
              </w:rPr>
              <w:t>iniciatívny materiál</w:t>
            </w:r>
          </w:p>
        </w:tc>
        <w:tc>
          <w:tcPr>
            <w:tcW w:w="5149" w:type="dxa"/>
          </w:tcPr>
          <w:p w14:paraId="1F97283D" w14:textId="2EA1A84B" w:rsidR="00E27816" w:rsidRDefault="00E27816" w:rsidP="00E27816">
            <w:pPr>
              <w:pStyle w:val="Zkladntext2"/>
              <w:jc w:val="both"/>
              <w:rPr>
                <w:sz w:val="25"/>
                <w:szCs w:val="2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3"/>
            </w:tblGrid>
            <w:tr w:rsidR="00E27816" w14:paraId="6547B041" w14:textId="77777777">
              <w:trPr>
                <w:divId w:val="1380082841"/>
                <w:tblCellSpacing w:w="15" w:type="dxa"/>
              </w:trPr>
              <w:tc>
                <w:tcPr>
                  <w:tcW w:w="0" w:type="auto"/>
                  <w:vAlign w:val="center"/>
                  <w:hideMark/>
                </w:tcPr>
                <w:p w14:paraId="2D710E8B" w14:textId="77777777" w:rsidR="00E27816" w:rsidRDefault="00E27816">
                  <w:pPr>
                    <w:rPr>
                      <w:sz w:val="25"/>
                      <w:szCs w:val="25"/>
                    </w:rPr>
                  </w:pPr>
                  <w:r>
                    <w:rPr>
                      <w:sz w:val="25"/>
                      <w:szCs w:val="25"/>
                    </w:rPr>
                    <w:t>1. vlastný materiál</w:t>
                  </w:r>
                </w:p>
              </w:tc>
            </w:tr>
            <w:tr w:rsidR="00E27816" w14:paraId="0F9457B4" w14:textId="77777777">
              <w:trPr>
                <w:divId w:val="1380082841"/>
                <w:tblCellSpacing w:w="15" w:type="dxa"/>
              </w:trPr>
              <w:tc>
                <w:tcPr>
                  <w:tcW w:w="0" w:type="auto"/>
                  <w:vAlign w:val="center"/>
                  <w:hideMark/>
                </w:tcPr>
                <w:p w14:paraId="0A418B94" w14:textId="77777777" w:rsidR="00E27816" w:rsidRDefault="00E27816">
                  <w:pPr>
                    <w:rPr>
                      <w:sz w:val="25"/>
                      <w:szCs w:val="25"/>
                    </w:rPr>
                  </w:pPr>
                  <w:r>
                    <w:rPr>
                      <w:sz w:val="25"/>
                      <w:szCs w:val="25"/>
                    </w:rPr>
                    <w:t>2. návrh uznesenia vlády SR</w:t>
                  </w:r>
                </w:p>
              </w:tc>
            </w:tr>
            <w:tr w:rsidR="00E27816" w14:paraId="0548BC06" w14:textId="77777777">
              <w:trPr>
                <w:divId w:val="1380082841"/>
                <w:tblCellSpacing w:w="15" w:type="dxa"/>
              </w:trPr>
              <w:tc>
                <w:tcPr>
                  <w:tcW w:w="0" w:type="auto"/>
                  <w:vAlign w:val="center"/>
                  <w:hideMark/>
                </w:tcPr>
                <w:p w14:paraId="48F54AF0" w14:textId="77777777" w:rsidR="00E27816" w:rsidRDefault="00E27816">
                  <w:pPr>
                    <w:rPr>
                      <w:sz w:val="25"/>
                      <w:szCs w:val="25"/>
                    </w:rPr>
                  </w:pPr>
                  <w:r>
                    <w:rPr>
                      <w:sz w:val="25"/>
                      <w:szCs w:val="25"/>
                    </w:rPr>
                    <w:t>3. predkladacia správa</w:t>
                  </w:r>
                </w:p>
              </w:tc>
            </w:tr>
            <w:tr w:rsidR="00E27816" w14:paraId="0E4FEB41" w14:textId="77777777">
              <w:trPr>
                <w:divId w:val="1380082841"/>
                <w:tblCellSpacing w:w="15" w:type="dxa"/>
              </w:trPr>
              <w:tc>
                <w:tcPr>
                  <w:tcW w:w="0" w:type="auto"/>
                  <w:vAlign w:val="center"/>
                  <w:hideMark/>
                </w:tcPr>
                <w:p w14:paraId="5261D5B2" w14:textId="77777777" w:rsidR="00E27816" w:rsidRDefault="00E27816">
                  <w:pPr>
                    <w:rPr>
                      <w:sz w:val="25"/>
                      <w:szCs w:val="25"/>
                    </w:rPr>
                  </w:pPr>
                  <w:r>
                    <w:rPr>
                      <w:sz w:val="25"/>
                      <w:szCs w:val="25"/>
                    </w:rPr>
                    <w:t>4. dôvodová správa - všeobecná časť</w:t>
                  </w:r>
                </w:p>
              </w:tc>
            </w:tr>
            <w:tr w:rsidR="00E27816" w14:paraId="587B3CB1" w14:textId="77777777">
              <w:trPr>
                <w:divId w:val="1380082841"/>
                <w:tblCellSpacing w:w="15" w:type="dxa"/>
              </w:trPr>
              <w:tc>
                <w:tcPr>
                  <w:tcW w:w="0" w:type="auto"/>
                  <w:vAlign w:val="center"/>
                  <w:hideMark/>
                </w:tcPr>
                <w:p w14:paraId="2B00CB12" w14:textId="77777777" w:rsidR="00E27816" w:rsidRDefault="00E27816">
                  <w:pPr>
                    <w:rPr>
                      <w:sz w:val="25"/>
                      <w:szCs w:val="25"/>
                    </w:rPr>
                  </w:pPr>
                  <w:r>
                    <w:rPr>
                      <w:sz w:val="25"/>
                      <w:szCs w:val="25"/>
                    </w:rPr>
                    <w:t>5. dôvodová správa - osobitná časť</w:t>
                  </w:r>
                </w:p>
              </w:tc>
            </w:tr>
            <w:tr w:rsidR="00E27816" w14:paraId="09BF4678" w14:textId="77777777">
              <w:trPr>
                <w:divId w:val="1380082841"/>
                <w:tblCellSpacing w:w="15" w:type="dxa"/>
              </w:trPr>
              <w:tc>
                <w:tcPr>
                  <w:tcW w:w="0" w:type="auto"/>
                  <w:vAlign w:val="center"/>
                  <w:hideMark/>
                </w:tcPr>
                <w:p w14:paraId="0AD43343" w14:textId="77777777" w:rsidR="00E27816" w:rsidRDefault="00E27816">
                  <w:pPr>
                    <w:rPr>
                      <w:sz w:val="25"/>
                      <w:szCs w:val="25"/>
                    </w:rPr>
                  </w:pPr>
                  <w:r>
                    <w:rPr>
                      <w:sz w:val="25"/>
                      <w:szCs w:val="25"/>
                    </w:rPr>
                    <w:t>6. doložka vplyvov</w:t>
                  </w:r>
                </w:p>
              </w:tc>
            </w:tr>
            <w:tr w:rsidR="00E27816" w14:paraId="19CBFB92" w14:textId="77777777">
              <w:trPr>
                <w:divId w:val="1380082841"/>
                <w:tblCellSpacing w:w="15" w:type="dxa"/>
              </w:trPr>
              <w:tc>
                <w:tcPr>
                  <w:tcW w:w="0" w:type="auto"/>
                  <w:vAlign w:val="center"/>
                  <w:hideMark/>
                </w:tcPr>
                <w:p w14:paraId="09FF14C2" w14:textId="77777777" w:rsidR="00E27816" w:rsidRDefault="00E27816">
                  <w:pPr>
                    <w:rPr>
                      <w:sz w:val="25"/>
                      <w:szCs w:val="25"/>
                    </w:rPr>
                  </w:pPr>
                  <w:r>
                    <w:rPr>
                      <w:sz w:val="25"/>
                      <w:szCs w:val="25"/>
                    </w:rPr>
                    <w:t>7. doložka zlučiteľnosti</w:t>
                  </w:r>
                </w:p>
              </w:tc>
            </w:tr>
            <w:tr w:rsidR="00E27816" w14:paraId="369E1672" w14:textId="77777777">
              <w:trPr>
                <w:divId w:val="1380082841"/>
                <w:tblCellSpacing w:w="15" w:type="dxa"/>
              </w:trPr>
              <w:tc>
                <w:tcPr>
                  <w:tcW w:w="0" w:type="auto"/>
                  <w:vAlign w:val="center"/>
                  <w:hideMark/>
                </w:tcPr>
                <w:p w14:paraId="417EC025" w14:textId="77777777" w:rsidR="00E27816" w:rsidRDefault="00E27816">
                  <w:pPr>
                    <w:rPr>
                      <w:sz w:val="25"/>
                      <w:szCs w:val="25"/>
                    </w:rPr>
                  </w:pPr>
                  <w:r>
                    <w:rPr>
                      <w:sz w:val="25"/>
                      <w:szCs w:val="25"/>
                    </w:rPr>
                    <w:t>8. vyhodnotenie MPK</w:t>
                  </w:r>
                </w:p>
              </w:tc>
            </w:tr>
            <w:tr w:rsidR="00E27816" w14:paraId="67C8140D" w14:textId="77777777">
              <w:trPr>
                <w:divId w:val="1380082841"/>
                <w:tblCellSpacing w:w="15" w:type="dxa"/>
              </w:trPr>
              <w:tc>
                <w:tcPr>
                  <w:tcW w:w="0" w:type="auto"/>
                  <w:vAlign w:val="center"/>
                  <w:hideMark/>
                </w:tcPr>
                <w:p w14:paraId="69CFE66F" w14:textId="77777777" w:rsidR="00E27816" w:rsidRDefault="00E27816">
                  <w:pPr>
                    <w:rPr>
                      <w:sz w:val="25"/>
                      <w:szCs w:val="25"/>
                    </w:rPr>
                  </w:pPr>
                  <w:r>
                    <w:rPr>
                      <w:sz w:val="25"/>
                      <w:szCs w:val="25"/>
                    </w:rPr>
                    <w:t>9. správa o účasti verejnosti</w:t>
                  </w:r>
                </w:p>
              </w:tc>
            </w:tr>
            <w:tr w:rsidR="00E27816" w14:paraId="450A236B" w14:textId="77777777">
              <w:trPr>
                <w:divId w:val="1380082841"/>
                <w:tblCellSpacing w:w="15" w:type="dxa"/>
              </w:trPr>
              <w:tc>
                <w:tcPr>
                  <w:tcW w:w="0" w:type="auto"/>
                  <w:vAlign w:val="center"/>
                  <w:hideMark/>
                </w:tcPr>
                <w:p w14:paraId="01B62DDD" w14:textId="77777777" w:rsidR="00E27816" w:rsidRDefault="00E27816">
                  <w:pPr>
                    <w:rPr>
                      <w:sz w:val="25"/>
                      <w:szCs w:val="25"/>
                    </w:rPr>
                  </w:pPr>
                  <w:r>
                    <w:rPr>
                      <w:sz w:val="25"/>
                      <w:szCs w:val="25"/>
                    </w:rPr>
                    <w:t>10. návrh komuniké</w:t>
                  </w:r>
                </w:p>
              </w:tc>
            </w:tr>
            <w:tr w:rsidR="00E27816" w14:paraId="0BEAA4B3" w14:textId="77777777">
              <w:trPr>
                <w:divId w:val="1380082841"/>
                <w:tblCellSpacing w:w="15" w:type="dxa"/>
              </w:trPr>
              <w:tc>
                <w:tcPr>
                  <w:tcW w:w="0" w:type="auto"/>
                  <w:vAlign w:val="center"/>
                  <w:hideMark/>
                </w:tcPr>
                <w:p w14:paraId="30FD9930" w14:textId="77777777" w:rsidR="00E27816" w:rsidRDefault="00E27816">
                  <w:pPr>
                    <w:rPr>
                      <w:sz w:val="25"/>
                      <w:szCs w:val="25"/>
                    </w:rPr>
                  </w:pPr>
                  <w:r>
                    <w:rPr>
                      <w:sz w:val="25"/>
                      <w:szCs w:val="25"/>
                    </w:rPr>
                    <w:t>11. doložka zlučiteľnosti</w:t>
                  </w:r>
                </w:p>
              </w:tc>
            </w:tr>
            <w:tr w:rsidR="00E27816" w14:paraId="4B94372B" w14:textId="77777777">
              <w:trPr>
                <w:divId w:val="1380082841"/>
                <w:tblCellSpacing w:w="15" w:type="dxa"/>
              </w:trPr>
              <w:tc>
                <w:tcPr>
                  <w:tcW w:w="0" w:type="auto"/>
                  <w:vAlign w:val="center"/>
                  <w:hideMark/>
                </w:tcPr>
                <w:p w14:paraId="43BD2DD6" w14:textId="77777777" w:rsidR="00E27816" w:rsidRDefault="00E27816">
                  <w:pPr>
                    <w:rPr>
                      <w:sz w:val="25"/>
                      <w:szCs w:val="25"/>
                    </w:rPr>
                  </w:pPr>
                  <w:r>
                    <w:rPr>
                      <w:sz w:val="25"/>
                      <w:szCs w:val="25"/>
                    </w:rPr>
                    <w:t>12. príloha</w:t>
                  </w:r>
                </w:p>
              </w:tc>
            </w:tr>
            <w:tr w:rsidR="00E27816" w14:paraId="1CCF5C70" w14:textId="77777777">
              <w:trPr>
                <w:divId w:val="1380082841"/>
                <w:tblCellSpacing w:w="15" w:type="dxa"/>
              </w:trPr>
              <w:tc>
                <w:tcPr>
                  <w:tcW w:w="0" w:type="auto"/>
                  <w:vAlign w:val="center"/>
                  <w:hideMark/>
                </w:tcPr>
                <w:p w14:paraId="101550F4" w14:textId="77777777" w:rsidR="00E27816" w:rsidRDefault="00E27816">
                  <w:pPr>
                    <w:rPr>
                      <w:sz w:val="25"/>
                      <w:szCs w:val="25"/>
                    </w:rPr>
                  </w:pPr>
                  <w:r>
                    <w:rPr>
                      <w:sz w:val="25"/>
                      <w:szCs w:val="25"/>
                    </w:rPr>
                    <w:t>13. vznesené pripomienky v rámci medzirezortného pripomienkového konania</w:t>
                  </w:r>
                </w:p>
              </w:tc>
            </w:tr>
          </w:tbl>
          <w:p w14:paraId="6CC1771C" w14:textId="0AC216B2" w:rsidR="00A56B40" w:rsidRPr="008073E3" w:rsidRDefault="00A56B40" w:rsidP="00E27816">
            <w:pPr>
              <w:pStyle w:val="Zkladntext2"/>
              <w:jc w:val="both"/>
              <w:rPr>
                <w:sz w:val="25"/>
                <w:szCs w:val="25"/>
              </w:rPr>
            </w:pPr>
          </w:p>
        </w:tc>
      </w:tr>
    </w:tbl>
    <w:p w14:paraId="587D3055" w14:textId="77777777" w:rsidR="001E0CFD" w:rsidRPr="008E4F14" w:rsidRDefault="001E0CFD" w:rsidP="004A0CFC">
      <w:pPr>
        <w:pStyle w:val="Zkladntext2"/>
        <w:jc w:val="both"/>
        <w:rPr>
          <w:b/>
          <w:bCs/>
          <w:sz w:val="25"/>
          <w:szCs w:val="25"/>
          <w:u w:val="single"/>
        </w:rPr>
      </w:pPr>
      <w:r w:rsidRPr="008E4F14">
        <w:rPr>
          <w:b/>
          <w:bCs/>
          <w:sz w:val="25"/>
          <w:szCs w:val="25"/>
          <w:u w:val="single"/>
        </w:rPr>
        <w:t>Predkladá:</w:t>
      </w:r>
    </w:p>
    <w:p w14:paraId="284604DA" w14:textId="4CF6DBA3" w:rsidR="009D7004" w:rsidRPr="008E4F14" w:rsidRDefault="009D7004" w:rsidP="006C4BE9">
      <w:pPr>
        <w:rPr>
          <w:sz w:val="25"/>
          <w:szCs w:val="25"/>
        </w:rPr>
      </w:pPr>
      <w:r w:rsidRPr="008E4F14">
        <w:rPr>
          <w:sz w:val="25"/>
          <w:szCs w:val="25"/>
        </w:rPr>
        <w:fldChar w:fldCharType="begin"/>
      </w:r>
      <w:r w:rsidRPr="008E4F14">
        <w:rPr>
          <w:sz w:val="25"/>
          <w:szCs w:val="25"/>
        </w:rPr>
        <w:instrText xml:space="preserve"> DOCPROPERTY  FSC#SKEDITIONSLOVLEX@103.510:</w:instrText>
      </w:r>
      <w:r w:rsidR="0057706E" w:rsidRPr="008E4F14">
        <w:rPr>
          <w:sz w:val="25"/>
          <w:szCs w:val="25"/>
        </w:rPr>
        <w:instrText>predkladateliaObalSD</w:instrText>
      </w:r>
      <w:r w:rsidRPr="008E4F14">
        <w:rPr>
          <w:sz w:val="25"/>
          <w:szCs w:val="25"/>
        </w:rPr>
        <w:instrText xml:space="preserve">\* MERGEFORMAT </w:instrText>
      </w:r>
      <w:r w:rsidRPr="008E4F14">
        <w:rPr>
          <w:sz w:val="25"/>
          <w:szCs w:val="25"/>
        </w:rPr>
        <w:fldChar w:fldCharType="end"/>
      </w:r>
    </w:p>
    <w:sectPr w:rsidR="009D7004" w:rsidRPr="008E4F14">
      <w:footerReference w:type="default" r:id="rId7"/>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FB58D" w14:textId="77777777" w:rsidR="006B4602" w:rsidRDefault="006B4602" w:rsidP="00AF1D48">
      <w:r>
        <w:separator/>
      </w:r>
    </w:p>
  </w:endnote>
  <w:endnote w:type="continuationSeparator" w:id="0">
    <w:p w14:paraId="6DD8BA6E" w14:textId="77777777" w:rsidR="006B4602" w:rsidRDefault="006B4602" w:rsidP="00AF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DA586" w14:textId="31A01FB4" w:rsidR="00AF1D48" w:rsidRDefault="00AF1D48" w:rsidP="00AF1D48">
    <w:pPr>
      <w:pStyle w:val="Zkladntext2"/>
      <w:ind w:left="60"/>
      <w:jc w:val="both"/>
    </w:pPr>
    <w:r>
      <w:ptab w:relativeTo="margin" w:alignment="center" w:leader="none"/>
    </w:r>
    <w:r>
      <w:t>Bratislava</w:t>
    </w:r>
    <w:r w:rsidR="0069637B">
      <w:t xml:space="preserve"> </w:t>
    </w:r>
    <w:r>
      <w:fldChar w:fldCharType="begin"/>
    </w:r>
    <w:r>
      <w:instrText xml:space="preserve"> TIME \@ "d. MMMM yyyy" </w:instrText>
    </w:r>
    <w:r>
      <w:fldChar w:fldCharType="separate"/>
    </w:r>
    <w:r w:rsidR="00E27816">
      <w:rPr>
        <w:noProof/>
      </w:rPr>
      <w:t>12. septembra 2016</w:t>
    </w:r>
    <w:r>
      <w:fldChar w:fldCharType="end"/>
    </w:r>
  </w:p>
  <w:p w14:paraId="3706BA5D" w14:textId="77777777" w:rsidR="00AF1D48" w:rsidRDefault="00AF1D4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8D0AB" w14:textId="77777777" w:rsidR="006B4602" w:rsidRDefault="006B4602" w:rsidP="00AF1D48">
      <w:r>
        <w:separator/>
      </w:r>
    </w:p>
  </w:footnote>
  <w:footnote w:type="continuationSeparator" w:id="0">
    <w:p w14:paraId="5BF70AB0" w14:textId="77777777" w:rsidR="006B4602" w:rsidRDefault="006B4602" w:rsidP="00AF1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updateFields w:val="tru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65"/>
    <w:rsid w:val="00011521"/>
    <w:rsid w:val="00036E2E"/>
    <w:rsid w:val="00061CCF"/>
    <w:rsid w:val="00092758"/>
    <w:rsid w:val="000C2162"/>
    <w:rsid w:val="000C6688"/>
    <w:rsid w:val="000D1334"/>
    <w:rsid w:val="000E6767"/>
    <w:rsid w:val="000F344B"/>
    <w:rsid w:val="001125AC"/>
    <w:rsid w:val="00115D12"/>
    <w:rsid w:val="00122CD3"/>
    <w:rsid w:val="0012409A"/>
    <w:rsid w:val="00160088"/>
    <w:rsid w:val="001630FB"/>
    <w:rsid w:val="00170FAA"/>
    <w:rsid w:val="001725A4"/>
    <w:rsid w:val="00194157"/>
    <w:rsid w:val="001A58AA"/>
    <w:rsid w:val="001B7FE0"/>
    <w:rsid w:val="001C66E6"/>
    <w:rsid w:val="001D79DA"/>
    <w:rsid w:val="001E0CFD"/>
    <w:rsid w:val="001F674F"/>
    <w:rsid w:val="00220306"/>
    <w:rsid w:val="00236E26"/>
    <w:rsid w:val="00242294"/>
    <w:rsid w:val="002924C3"/>
    <w:rsid w:val="0029466C"/>
    <w:rsid w:val="002B0B5D"/>
    <w:rsid w:val="002B45DC"/>
    <w:rsid w:val="002B6B6C"/>
    <w:rsid w:val="002D4123"/>
    <w:rsid w:val="002E6307"/>
    <w:rsid w:val="002F185A"/>
    <w:rsid w:val="00307FC9"/>
    <w:rsid w:val="0033171B"/>
    <w:rsid w:val="00372637"/>
    <w:rsid w:val="003B2E79"/>
    <w:rsid w:val="003D115D"/>
    <w:rsid w:val="00414C1D"/>
    <w:rsid w:val="00424324"/>
    <w:rsid w:val="00427B3B"/>
    <w:rsid w:val="00432107"/>
    <w:rsid w:val="0044273A"/>
    <w:rsid w:val="00466CAB"/>
    <w:rsid w:val="004A0CFC"/>
    <w:rsid w:val="004A1369"/>
    <w:rsid w:val="004D3726"/>
    <w:rsid w:val="004F70D0"/>
    <w:rsid w:val="0055330D"/>
    <w:rsid w:val="0056032D"/>
    <w:rsid w:val="0057706E"/>
    <w:rsid w:val="005A2E35"/>
    <w:rsid w:val="005A45F1"/>
    <w:rsid w:val="005B1217"/>
    <w:rsid w:val="005B7FF4"/>
    <w:rsid w:val="005D335A"/>
    <w:rsid w:val="00601389"/>
    <w:rsid w:val="0062016A"/>
    <w:rsid w:val="00623BAD"/>
    <w:rsid w:val="00627C51"/>
    <w:rsid w:val="00671F01"/>
    <w:rsid w:val="00676DCD"/>
    <w:rsid w:val="00685081"/>
    <w:rsid w:val="0069637B"/>
    <w:rsid w:val="006B36F8"/>
    <w:rsid w:val="006B4602"/>
    <w:rsid w:val="006B4F2E"/>
    <w:rsid w:val="006B6372"/>
    <w:rsid w:val="006C4BE9"/>
    <w:rsid w:val="006D4EE2"/>
    <w:rsid w:val="006E7967"/>
    <w:rsid w:val="00714FA1"/>
    <w:rsid w:val="00747349"/>
    <w:rsid w:val="00747BC1"/>
    <w:rsid w:val="0075754B"/>
    <w:rsid w:val="0078171E"/>
    <w:rsid w:val="008073E3"/>
    <w:rsid w:val="00821793"/>
    <w:rsid w:val="00855D5A"/>
    <w:rsid w:val="00861CC6"/>
    <w:rsid w:val="008E4F14"/>
    <w:rsid w:val="008F4028"/>
    <w:rsid w:val="008F57D0"/>
    <w:rsid w:val="00907265"/>
    <w:rsid w:val="00922E66"/>
    <w:rsid w:val="00946CED"/>
    <w:rsid w:val="009C6528"/>
    <w:rsid w:val="009D7004"/>
    <w:rsid w:val="009E7AFC"/>
    <w:rsid w:val="009E7FEF"/>
    <w:rsid w:val="00A216CD"/>
    <w:rsid w:val="00A27B5F"/>
    <w:rsid w:val="00A307A9"/>
    <w:rsid w:val="00A56B40"/>
    <w:rsid w:val="00A71802"/>
    <w:rsid w:val="00AA0C58"/>
    <w:rsid w:val="00AF1D48"/>
    <w:rsid w:val="00B17B60"/>
    <w:rsid w:val="00B42E84"/>
    <w:rsid w:val="00B61867"/>
    <w:rsid w:val="00BC2EE5"/>
    <w:rsid w:val="00BE174E"/>
    <w:rsid w:val="00BE43B4"/>
    <w:rsid w:val="00C1127B"/>
    <w:rsid w:val="00C632CF"/>
    <w:rsid w:val="00C656C8"/>
    <w:rsid w:val="00CC25B0"/>
    <w:rsid w:val="00CD3236"/>
    <w:rsid w:val="00D02444"/>
    <w:rsid w:val="00D43A10"/>
    <w:rsid w:val="00D52766"/>
    <w:rsid w:val="00D54C03"/>
    <w:rsid w:val="00DA1D25"/>
    <w:rsid w:val="00DA48B3"/>
    <w:rsid w:val="00DA4C98"/>
    <w:rsid w:val="00E047F9"/>
    <w:rsid w:val="00E11820"/>
    <w:rsid w:val="00E27816"/>
    <w:rsid w:val="00E335AA"/>
    <w:rsid w:val="00E37D9C"/>
    <w:rsid w:val="00E74698"/>
    <w:rsid w:val="00EA53FB"/>
    <w:rsid w:val="00EA7A62"/>
    <w:rsid w:val="00EC6B42"/>
    <w:rsid w:val="00EE4DDD"/>
    <w:rsid w:val="00F23D08"/>
    <w:rsid w:val="00F552C7"/>
    <w:rsid w:val="00F60102"/>
    <w:rsid w:val="00F83F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B8BCD"/>
  <w14:defaultImageDpi w14:val="96"/>
  <w15:docId w15:val="{BFCD4029-54C2-4979-A9E1-4712E488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rFonts w:ascii="Times New Roman" w:hAnsi="Times New Roman"/>
      <w:sz w:val="20"/>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pPr>
      <w:jc w:val="center"/>
    </w:pPr>
    <w:rPr>
      <w:sz w:val="24"/>
      <w:szCs w:val="24"/>
    </w:rPr>
  </w:style>
  <w:style w:type="character" w:customStyle="1" w:styleId="Zkladntext2Char">
    <w:name w:val="Základný text 2 Char"/>
    <w:basedOn w:val="Predvolenpsmoodseku"/>
    <w:link w:val="Zkladntext2"/>
    <w:uiPriority w:val="99"/>
    <w:semiHidden/>
    <w:locked/>
    <w:rPr>
      <w:rFonts w:ascii="Times New Roman" w:hAnsi="Times New Roman" w:cs="Times New Roman"/>
      <w:sz w:val="20"/>
      <w:szCs w:val="20"/>
      <w:lang w:val="x-none" w:eastAsia="en-US"/>
    </w:rPr>
  </w:style>
  <w:style w:type="paragraph" w:styleId="Hlavika">
    <w:name w:val="header"/>
    <w:basedOn w:val="Normlny"/>
    <w:link w:val="HlavikaChar"/>
    <w:uiPriority w:val="99"/>
    <w:unhideWhenUsed/>
    <w:rsid w:val="00AF1D48"/>
    <w:pPr>
      <w:tabs>
        <w:tab w:val="center" w:pos="4536"/>
        <w:tab w:val="right" w:pos="9072"/>
      </w:tabs>
    </w:pPr>
  </w:style>
  <w:style w:type="character" w:customStyle="1" w:styleId="HlavikaChar">
    <w:name w:val="Hlavička Char"/>
    <w:basedOn w:val="Predvolenpsmoodseku"/>
    <w:link w:val="Hlavika"/>
    <w:uiPriority w:val="99"/>
    <w:rsid w:val="00AF1D48"/>
    <w:rPr>
      <w:rFonts w:ascii="Times New Roman" w:hAnsi="Times New Roman"/>
      <w:sz w:val="20"/>
      <w:szCs w:val="20"/>
      <w:lang w:eastAsia="en-US"/>
    </w:rPr>
  </w:style>
  <w:style w:type="paragraph" w:styleId="Pta">
    <w:name w:val="footer"/>
    <w:basedOn w:val="Normlny"/>
    <w:link w:val="PtaChar"/>
    <w:uiPriority w:val="99"/>
    <w:unhideWhenUsed/>
    <w:rsid w:val="00AF1D48"/>
    <w:pPr>
      <w:tabs>
        <w:tab w:val="center" w:pos="4536"/>
        <w:tab w:val="right" w:pos="9072"/>
      </w:tabs>
    </w:pPr>
  </w:style>
  <w:style w:type="character" w:customStyle="1" w:styleId="PtaChar">
    <w:name w:val="Päta Char"/>
    <w:basedOn w:val="Predvolenpsmoodseku"/>
    <w:link w:val="Pta"/>
    <w:uiPriority w:val="99"/>
    <w:rsid w:val="00AF1D48"/>
    <w:rPr>
      <w:rFonts w:ascii="Times New Roman" w:hAnsi="Times New Roman"/>
      <w:sz w:val="20"/>
      <w:szCs w:val="20"/>
      <w:lang w:eastAsia="en-US"/>
    </w:rPr>
  </w:style>
  <w:style w:type="table" w:styleId="Mriekatabuky">
    <w:name w:val="Table Grid"/>
    <w:basedOn w:val="Normlnatabuka"/>
    <w:uiPriority w:val="59"/>
    <w:rsid w:val="00A56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413280">
      <w:bodyDiv w:val="1"/>
      <w:marLeft w:val="0"/>
      <w:marRight w:val="0"/>
      <w:marTop w:val="0"/>
      <w:marBottom w:val="0"/>
      <w:divBdr>
        <w:top w:val="none" w:sz="0" w:space="0" w:color="auto"/>
        <w:left w:val="none" w:sz="0" w:space="0" w:color="auto"/>
        <w:bottom w:val="none" w:sz="0" w:space="0" w:color="auto"/>
        <w:right w:val="none" w:sz="0" w:space="0" w:color="auto"/>
      </w:divBdr>
    </w:div>
    <w:div w:id="1380082841">
      <w:bodyDiv w:val="1"/>
      <w:marLeft w:val="0"/>
      <w:marRight w:val="0"/>
      <w:marTop w:val="0"/>
      <w:marBottom w:val="0"/>
      <w:divBdr>
        <w:top w:val="none" w:sz="0" w:space="0" w:color="auto"/>
        <w:left w:val="none" w:sz="0" w:space="0" w:color="auto"/>
        <w:bottom w:val="none" w:sz="0" w:space="0" w:color="auto"/>
        <w:right w:val="none" w:sz="0" w:space="0" w:color="auto"/>
      </w:divBdr>
    </w:div>
    <w:div w:id="1778326196">
      <w:bodyDiv w:val="1"/>
      <w:marLeft w:val="0"/>
      <w:marRight w:val="0"/>
      <w:marTop w:val="0"/>
      <w:marBottom w:val="0"/>
      <w:divBdr>
        <w:top w:val="none" w:sz="0" w:space="0" w:color="auto"/>
        <w:left w:val="none" w:sz="0" w:space="0" w:color="auto"/>
        <w:bottom w:val="none" w:sz="0" w:space="0" w:color="auto"/>
        <w:right w:val="none" w:sz="0" w:space="0" w:color="auto"/>
      </w:divBdr>
    </w:div>
    <w:div w:id="18379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Obal materiálu na rokovanie LRV SR"/>
    <f:field ref="objsubject" par="" edit="true" text="Obal materiálu na rokovanie LRV SR"/>
    <f:field ref="objcreatedby" par="" text="Administrator, System"/>
    <f:field ref="objcreatedat" par="" text="12.9.2016 9:40:55"/>
    <f:field ref="objchangedby" par="" text="Administrator, System"/>
    <f:field ref="objmodifiedat" par="" text="12.9.2016 9:40:59"/>
    <f:field ref="doc_FSCFOLIO_1_1001_FieldDocumentNumber" par="" text=""/>
    <f:field ref="doc_FSCFOLIO_1_1001_FieldSubject" par="" edit="true" text="Obal materiálu na rokovanie LRV SR"/>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Urad</Company>
  <LinksUpToDate>false</LinksUpToDate>
  <CharactersWithSpaces>1035</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2016-09-12T07:40:00Z</dcterms:created>
  <dc:creator>Jakub</dc:creator>
  <lastModifiedBy>ms.slx.P.fscsrv</lastModifiedBy>
  <lastPrinted>2001-08-01T11:42:00Z</lastPrinted>
  <dcterms:modified xsi:type="dcterms:W3CDTF">2016-09-12T07:40:00Z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COO.2145.1000.3.1609415</vt:lpwstr>
  </property>
  <property name="FSC#FSCFOLIO@1.1001:docpropproject" pid="3" fmtid="{D5CDD505-2E9C-101B-9397-08002B2CF9AE}">
    <vt:lpwstr/>
  </property>
  <property name="FSC#SKEDITIONSLOVLEX@103.510:typpredpis" pid="4" fmtid="{D5CDD505-2E9C-101B-9397-08002B2CF9AE}">
    <vt:lpwstr>Zákon</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Marek Gilányi</vt:lpwstr>
  </property>
  <property name="FSC#SKEDITIONSLOVLEX@103.510:zodppredkladatel" pid="11" fmtid="{D5CDD505-2E9C-101B-9397-08002B2CF9AE}">
    <vt:lpwstr>Peter Plavčan</vt:lpwstr>
  </property>
  <property name="FSC#SKEDITIONSLOVLEX@103.510:nazovpredpis" pid="12" fmtid="{D5CDD505-2E9C-101B-9397-08002B2CF9AE}">
    <vt:lpwstr>, ktorým sa mení a dopĺňa zákon č. 440/2015 Z. z. o športe a o zmene a doplnení niektorých zákonov a ktorým sa mení zákon č. 552/2003 Z. z. o výkone práce vo verejnom záujme v znení neskorších predpisov</vt:lpwstr>
  </property>
  <property name="FSC#SKEDITIONSLOVLEX@103.510:cislopredpis" pid="13" fmtid="{D5CDD505-2E9C-101B-9397-08002B2CF9AE}">
    <vt:lpwstr/>
  </property>
  <property name="FSC#SKEDITIONSLOVLEX@103.510:zodpinstitucia" pid="14" fmtid="{D5CDD505-2E9C-101B-9397-08002B2CF9AE}">
    <vt:lpwstr>Ministerstvo školstva, vedy, výskumu a športu Slovenskej republiky</vt:lpwstr>
  </property>
  <property name="FSC#SKEDITIONSLOVLEX@103.510:pripomienkovatelia" pid="15" fmtid="{D5CDD505-2E9C-101B-9397-08002B2CF9AE}">
    <vt:lpwstr/>
  </property>
  <property name="FSC#SKEDITIONSLOVLEX@103.510:autorpredpis" pid="16" fmtid="{D5CDD505-2E9C-101B-9397-08002B2CF9AE}">
    <vt:lpwstr/>
  </property>
  <property name="FSC#SKEDITIONSLOVLEX@103.510:podnetpredpis" pid="17" fmtid="{D5CDD505-2E9C-101B-9397-08002B2CF9AE}">
    <vt:lpwstr>iniciatívny materiál</vt:lpwstr>
  </property>
  <property name="FSC#SKEDITIONSLOVLEX@103.510:plnynazovpredpis" pid="18" fmtid="{D5CDD505-2E9C-101B-9397-08002B2CF9AE}">
    <vt:lpwstr> Zákon, ktorým sa mení a dopĺňa zákon č. 440/2015 Z. z. o športe a o zmene a doplnení niektorých zákonov a ktorým sa mení zákon č. 552/2003 Z. z. o výkone práce vo verejnom záujme v znení neskorších predpisov</vt:lpwstr>
  </property>
  <property name="FSC#SKEDITIONSLOVLEX@103.510:rezortcislopredpis" pid="19" fmtid="{D5CDD505-2E9C-101B-9397-08002B2CF9AE}">
    <vt:lpwstr>spis č. 2016-19790-56AA</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LP/2016/787</vt:lpwstr>
  </property>
  <property name="FSC#SKEDITIONSLOVLEX@103.510:typsprievdok" pid="29" fmtid="{D5CDD505-2E9C-101B-9397-08002B2CF9AE}">
    <vt:lpwstr>Obal materiálu</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nie je upravená v práve Európskej únie</vt:lpwstr>
  </property>
  <property name="FSC#SKEDITIONSLOVLEX@103.510:AttrStrListDocPropPrimarnePravoEU" pid="38" fmtid="{D5CDD505-2E9C-101B-9397-08002B2CF9AE}">
    <vt:lpwstr/>
  </property>
  <property name="FSC#SKEDITIONSLOVLEX@103.510:AttrStrListDocPropSekundarneLegPravoPO" pid="39" fmtid="{D5CDD505-2E9C-101B-9397-08002B2CF9AE}">
    <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nie je obsiahnutá v judikatúre Súdneho dvora Európskej únie</vt:lpwstr>
  </property>
  <property name="FSC#SKEDITIONSLOVLEX@103.510:AttrStrListDocPropNazovPredpisuEU" pid="43" fmtid="{D5CDD505-2E9C-101B-9397-08002B2CF9AE}">
    <vt:lpwstr/>
  </property>
  <property name="FSC#SKEDITIONSLOVLEX@103.510:AttrStrListDocPropLehotaPrebratieSmernice" pid="44" fmtid="{D5CDD505-2E9C-101B-9397-08002B2CF9AE}">
    <vt:lpwstr/>
  </property>
  <property name="FSC#SKEDITIONSLOVLEX@103.510:AttrStrListDocPropLehotaNaPredlozenie" pid="45" fmtid="{D5CDD505-2E9C-101B-9397-08002B2CF9AE}">
    <vt:lpwstr/>
  </property>
  <property name="FSC#SKEDITIONSLOVLEX@103.510:AttrStrListDocPropInfoZaciatokKonania" pid="46" fmtid="{D5CDD505-2E9C-101B-9397-08002B2CF9AE}">
    <vt:lpwstr/>
  </property>
  <property name="FSC#SKEDITIONSLOVLEX@103.510:AttrStrListDocPropInfoUzPreberanePP" pid="47" fmtid="{D5CDD505-2E9C-101B-9397-08002B2CF9AE}">
    <vt:lpwstr/>
  </property>
  <property name="FSC#SKEDITIONSLOVLEX@103.510:AttrStrListDocPropStupenZlucitelnostiPP" pid="48" fmtid="{D5CDD505-2E9C-101B-9397-08002B2CF9AE}">
    <vt:lpwstr>úplný</vt:lpwstr>
  </property>
  <property name="FSC#SKEDITIONSLOVLEX@103.510:AttrStrListDocPropGestorSpolupRezorty" pid="49" fmtid="{D5CDD505-2E9C-101B-9397-08002B2CF9AE}">
    <vt:lpwstr>Ministerstvo školstva, vedy, výskumu a športu Slovenskej republiky</vt:lpwstr>
  </property>
  <property name="FSC#SKEDITIONSLOVLEX@103.510:AttrDateDocPropZaciatokPKK" pid="50" fmtid="{D5CDD505-2E9C-101B-9397-08002B2CF9AE}">
    <vt:lpwstr>2. 8. 2016</vt:lpwstr>
  </property>
  <property name="FSC#SKEDITIONSLOVLEX@103.510:AttrDateDocPropUkonceniePKK" pid="51" fmtid="{D5CDD505-2E9C-101B-9397-08002B2CF9AE}">
    <vt:lpwstr/>
  </property>
  <property name="FSC#SKEDITIONSLOVLEX@103.510:AttrStrDocPropVplyvRozpocetVS" pid="52" fmtid="{D5CDD505-2E9C-101B-9397-08002B2CF9AE}">
    <vt:lpwstr>Žiadne</vt:lpwstr>
  </property>
  <property name="FSC#SKEDITIONSLOVLEX@103.510:AttrStrDocPropVplyvPodnikatelskeProstr" pid="53" fmtid="{D5CDD505-2E9C-101B-9397-08002B2CF9AE}">
    <vt:lpwstr>Žiadne</vt:lpwstr>
  </property>
  <property name="FSC#SKEDITIONSLOVLEX@103.510:AttrStrDocPropVplyvSocialny" pid="54" fmtid="{D5CDD505-2E9C-101B-9397-08002B2CF9AE}">
    <vt:lpwstr>Žiadne</vt:lpwstr>
  </property>
  <property name="FSC#SKEDITIONSLOVLEX@103.510:AttrStrDocPropVplyvNaZivotProstr" pid="55" fmtid="{D5CDD505-2E9C-101B-9397-08002B2CF9AE}">
    <vt:lpwstr>Žiadne</vt:lpwstr>
  </property>
  <property name="FSC#SKEDITIONSLOVLEX@103.510:AttrStrDocPropVplyvNaInformatizaciu" pid="56" fmtid="{D5CDD505-2E9C-101B-9397-08002B2CF9AE}">
    <vt:lpwstr>Žiadne</vt:lpwstr>
  </property>
  <property name="FSC#SKEDITIONSLOVLEX@103.510:AttrStrListDocPropPoznamkaVplyv" pid="57" fmtid="{D5CDD505-2E9C-101B-9397-08002B2CF9AE}">
    <vt:lpwstr>Novela zákona ustanovuje nový správny delikt v § 95 ods. 1 písm. p), ktorého ak sa dopustí športová organizácia možno uložiť pokutu vo výške 300 €  do 30 000 € - Nakoľko neexistujú hodnoty výskytu tohto správneho deliktu, nie je možné kvantifikovať vplyvy na príjmy rozpočtu verejnej správy.</vt:lpwstr>
  </property>
  <property name="FSC#SKEDITIONSLOVLEX@103.510:AttrStrListDocPropAltRiesenia" pid="58" fmtid="{D5CDD505-2E9C-101B-9397-08002B2CF9AE}">
    <vt:lpwstr>Bezpredmetné.</vt:lpwstr>
  </property>
  <property name="FSC#SKEDITIONSLOVLEX@103.510:AttrStrListDocPropStanoviskoGest" pid="59" fmtid="{D5CDD505-2E9C-101B-9397-08002B2CF9AE}">
    <vt:lpwstr/>
  </property>
  <property name="FSC#SKEDITIONSLOVLEX@103.510:AttrStrListDocPropTextKomunike" pid="60" fmtid="{D5CDD505-2E9C-101B-9397-08002B2CF9AE}">
    <vt:lpwstr>Vláda Slovenskej republiky na svojom rokovaní dňa ....................... prerokovala a schválila návrh zákona, ktorým sa mení a dopĺňa zákon č. 440/2015 Z. z. o športe a o zmene a doplnení niektorých zákonov a ktorým sa mení zákon č. 552/2003 Z. z. o výkone práce vo verejnom záujme v znení neskorších predpisov.</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republiky_x000d__x000a_minister školstva, vedy, výskumu a športu Slovenskej republiky</vt:lpwstr>
  </property>
  <property name="FSC#SKEDITIONSLOVLEX@103.510:AttrStrListDocPropUznesenieNaVedomie" pid="129" fmtid="{D5CDD505-2E9C-101B-9397-08002B2CF9AE}">
    <vt:lpwstr>predseda Národnej rady Slovenskej republiky</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 style="text-align: justify;"&gt;Ministerstvo školstva, vedy, výskumu a&amp;nbsp;športu Slovenskej republiky predkladá do medzirezortného pripomienkového konania návrh zákona, ktorým sa mení a dopĺňa zákon č. 440/2015 Z. z. o športe a o zmene a doplnení niektorých zákonov a ktorým sa mení zákon č. 552/2003 Z. z. o výkone práce vo verejnom záujme v znení neskorších predpisov.&amp;nbsp;&amp;nbsp;&amp;nbsp;&amp;nbsp;&amp;nbsp;&amp;nbsp;&lt;/p&gt;&lt;p style="text-align: justify;"&gt;Návrh zákona sa predkladá ako iniciatívny návrh a&amp;nbsp;reaguje na praktické problémy, ktoré vznikli pri aplikácii zákona o športe a na výkladové nejasnosti.&amp;nbsp;&lt;/p&gt;&lt;p style="text-align: justify;"&gt;Predložený návrh zákona:&lt;/p&gt;&lt;ul&gt;_x0009_&lt;li&gt;_x0009_&lt;p style="text-align: justify;"&gt;spresňuje a&amp;nbsp;upravuje ustanovenia, ktoré spôsobovali v&amp;nbsp;praxi výkladové problémy za účelom ich jednotnej a&amp;nbsp;bezproblémovej aplikácie,&lt;/p&gt;_x0009_&lt;/li&gt;_x0009_&lt;li&gt;_x0009_&lt;p style="text-align: justify;"&gt;rieši status športových odborníkov ako podnikateľov a&amp;nbsp;pozastavenie výkonu ich činnosti,&lt;/p&gt;_x0009_&lt;/li&gt;_x0009_&lt;li&gt;_x0009_&lt;p style="text-align: justify;"&gt;zrovnoprávňuje povinnosti športových organizácií bez ohľadu na ich právnu formu,&lt;/p&gt;_x0009_&lt;/li&gt;_x0009_&lt;li&gt;_x0009_&lt;p style="text-align: justify;"&gt;upravuje absentujúci spôsob uznávania národných športových organizácií osobitného významu obdobným spôsobom, ako je nastavené uznávanie národných športových zväzov,&lt;/p&gt;_x0009_&lt;/li&gt;_x0009_&lt;li&gt;_x0009_&lt;p style="text-align: justify;"&gt;dopĺňa pôsobnosť hlavného kontrolóra v športe,&lt;/p&gt;_x0009_&lt;/li&gt;_x0009_&lt;li&gt;_x0009_&lt;p style="text-align: justify;"&gt;dopĺňa nový inštitút dočasného pozastavenia spôsobilosti prijímateľa verejných prostriedkov pri odôvodnenej obave z existencie závažného nedostatku,&lt;/p&gt;_x0009_&lt;/li&gt;_x0009_&lt;li&gt;_x0009_&lt;p style="text-align: justify;"&gt;prílohu č. 3&amp;nbsp;legislatívnotechnicky upravuje a&amp;nbsp;odstraňuje redukciu na neolympijské športy.&lt;/p&gt;_x0009_&lt;/li&gt;&lt;/ul&gt;&lt;p style="text-align: justify;"&gt;Návrh zákona nemá vplyv na rozpočet verejnej správy (štátny rozpočet, rozpočty obcí, rozpočty vyšších územných celkov), sociálne vplyvy, vplyvy na podnikateľské prostredie, životné prostredie, na informatizáciu spoločnosti ani na služby verejnej správy pre občana.&lt;/p&gt;&lt;p style="text-align: justify;"&gt;Navrhovaná účinnosť súvisí s úpravou pravidiel pre poskytovanie príspevku uznanému športu. Návrh zákona nemá byť predmetom vnútrokomunitárneho pripomienkového konania.&lt;/p&gt;&lt;p style="text-align: justify;"&gt;Materiál sa na rokovanie predkladá s rozpormi&amp;nbsp;so Slovenským futbalovým zväzom (zastupujúcim deväť zväzov) a s Generálnou prokuratúrou Slovenskej republiky (týkajú sa zníženia percentuálneho podielu zo zdrojov financovania športu pre príspevok uznanému športu a ustanovenia oprávnených nákladov použitia príspevku uznanému športu) a so Združením miest a obcí Slovenska.&lt;/p&gt;</vt:lpwstr>
  </property>
  <property name="FSC#SKEDITIONSLOVLEX@103.510:dalsipredkladatel" pid="132" fmtid="{D5CDD505-2E9C-101B-9397-08002B2CF9AE}">
    <vt:lpwstr/>
  </property>
  <property name="FSC#SKEDITIONSLOVLEX@103.510:funkciaPred" pid="133" fmtid="{D5CDD505-2E9C-101B-9397-08002B2CF9AE}">
    <vt:lpwstr/>
  </property>
  <property name="FSC#SKEDITIONSLOVLEX@103.510:funkciaZodpPred" pid="134" fmtid="{D5CDD505-2E9C-101B-9397-08002B2CF9AE}">
    <vt:lpwstr>minister školstva, vedy, výskumu a športu Slovenskej republiky</vt:lpwstr>
  </property>
  <property name="FSC#SKEDITIONSLOVLEX@103.510:funkciaDalsiPred" pid="135" fmtid="{D5CDD505-2E9C-101B-9397-08002B2CF9AE}">
    <vt:lpwstr/>
  </property>
  <property name="FSC#SKEDITIONSLOVLEX@103.510:predkladateliaObalSD" pid="136" fmtid="{D5CDD505-2E9C-101B-9397-08002B2CF9AE}">
    <vt:lpwstr>Peter Plavčan_x000d__x000a_minister školstva, vedy, výskumu a športu Slovenskej republiky</vt:lpwstr>
  </property>
  <property name="FSC#SKEDITIONSLOVLEX@103.510:funkciaPredAkuzativ" pid="137" fmtid="{D5CDD505-2E9C-101B-9397-08002B2CF9AE}">
    <vt:lpwstr/>
  </property>
  <property name="FSC#SKEDITIONSLOVLEX@103.510:funkciaPredDativ" pid="138" fmtid="{D5CDD505-2E9C-101B-9397-08002B2CF9AE}">
    <vt:lpwstr/>
  </property>
  <property name="FSC#SKEDITIONSLOVLEX@103.510:funkciaZodpPredAkuzativ" pid="139" fmtid="{D5CDD505-2E9C-101B-9397-08002B2CF9AE}">
    <vt:lpwstr>ministerovi školstva, vedy, výskumu a športu Slovenskej republiky</vt:lpwstr>
  </property>
  <property name="FSC#SKEDITIONSLOVLEX@103.510:funkciaZodpPredDativ" pid="140" fmtid="{D5CDD505-2E9C-101B-9397-08002B2CF9AE}">
    <vt:lpwstr>ministera školstva, vedy, výskumu a športu Slovenskej republiky</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spravaucastverej" pid="143" fmtid="{D5CDD505-2E9C-101B-9397-08002B2CF9AE}">
    <vt:lpwstr>&lt;p style="text-align: justify;"&gt;&lt;span style="font-family: &amp;quot;Times New Roman&amp;quot;,&amp;quot;serif&amp;quot;; font-size: 12pt; mso-fareast-font-family: &amp;quot;Times New Roman&amp;quot;; mso-ansi-language: SK; mso-fareast-language: SK; mso-bidi-language: AR-SA;"&gt;Verejnosť&amp;nbsp;je o&amp;nbsp;príprave návrhu zákona, &lt;/span&gt;ktorým sa mení a dopĺňa zákon č. 440/2015 Z. z. o športe a o zmene a doplnení niektorých zákonov a ktorým sa mení zákon č. 552/2003 Z. z. o výkone práce vo verejnom záujme v znení neskorších predpisov &lt;span style="font-family: &amp;quot;Times New Roman&amp;quot;,&amp;quot;serif&amp;quot;; font-size: 12pt; mso-fareast-font-family: &amp;quot;Times New Roman&amp;quot;; mso-ansi-language: SK; mso-fareast-language: SK; mso-bidi-language: AR-SA;"&gt; informovaná v rámci medzirezortného pripomienkového konania.&lt;/span&gt;&lt;/p&gt;</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2016</vt:lpwstr>
  </property>
</Properties>
</file>