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BD22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9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B2796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vedie k šetreniu, resp. použitiu finančných prostriedkov na iné účely. Ovplyvní to finančný rozpočet nízko príjmových skupín obyvateľstva, resp. ľudí bez práce a bez domova. Pozitívny vplyv sa prejaví znížením výdavkov na potraviny v skupine sociálne slabých osôb.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B2796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bude mať pozitívny vplyv pre sociálne slabé osoby, ktorým charitatívne organizácie poskytujú bezodplatne potraviny a stravu. 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B2796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negatívny vplyv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7969" w:rsidRPr="0081749C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negatívne ovplyvnenie niektorých skupín obyvateľstva.</w:t>
            </w:r>
          </w:p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27969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B27969" w:rsidRPr="00CD4982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B27969" w:rsidRPr="00CD4982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bude mať pozitívny vplyv pre sociálne slabé osoby, ktorým charitatívne organizácie poskytujú bezodplatne potraviny, stravu.</w:t>
            </w:r>
          </w:p>
          <w:p w:rsidR="00B27969" w:rsidRPr="00CD4982" w:rsidRDefault="00B27969" w:rsidP="00B27969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27969" w:rsidRPr="00CA6BAF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Nedá sa kvanitifikovať.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27969" w:rsidRPr="00231542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negatívny vplyv</w:t>
            </w:r>
          </w:p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B27969">
        <w:trPr>
          <w:trHeight w:val="667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B2796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MPRV SR nedisponuje týmito štatistickými údajmi.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B2796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má vplyv na prístup k tovarom – potravinám po uplynutí DMT, ktoré sú stále bezpečné na ľudskú spotrebu. Ovplyvnená bude najmä skupina obyvateľstva v riziku chudoby či sociálneho vylúčenia, ktorej charitatívne organizácie budú môcť poskytnúť bezodplatne potraviny alebo stravu, ktoré získajú po uplynutí ich DMT takisto bezodplatne od potravinových reťazcov.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27969" w:rsidRDefault="00B2796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27969" w:rsidRPr="00B27969" w:rsidRDefault="00B27969" w:rsidP="00B27969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27969" w:rsidRDefault="00B27969" w:rsidP="00B27969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27969" w:rsidRPr="00B27969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2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významný vplyv na niektorú zo zraniteľných skupín obyvateľstva alebo skupín v riziku chudoby alebo sociálneho vylúčenia. Ide o skupinu obyvateľstva v riziku chudoby či sociálneho vylúčenia bez ohľadu na vekovú kategóriu.</w:t>
            </w:r>
          </w:p>
          <w:p w:rsidR="00A30F1C" w:rsidRPr="00B27969" w:rsidRDefault="00A30F1C" w:rsidP="00B27969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5"/>
          <w:footerReference w:type="default" r:id="rId1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D74AB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11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B27969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D4982" w:rsidRPr="00B27969" w:rsidRDefault="00B2796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2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nepriamu diskrimináciu niektorých skupín obyvateľstva a dáva rovnakú možnosť každej charitatívnej organizácii poskytovať potraviny po uplynutí DMT každej zo zraniteľných skupín obyvateľstva alebo skupín v riziku chudoby alebo sociálneho vylúčenia za podmienok ustanovených v návrhu, a to tak, aby nebolo ohrozené zdravie a život tejto skupiny obyvateľstva.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B2796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lang w:eastAsia="sk-SK"/>
              </w:rPr>
              <w:t>Návrh nepredpokladá odlišný vplyv na ženy a mužov, ani nebude viesť k zväčšovaniu rodových nerovností.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27969" w:rsidRPr="006A0927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27969" w:rsidRPr="006A0927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27969" w:rsidRPr="006A0927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27969" w:rsidRPr="006A0927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Návrh môže ohrozovať napr. pracovníkov istých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27969" w:rsidRPr="006A0927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nerieši túto oblasť.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B27969" w:rsidRPr="006A0927" w:rsidRDefault="00B27969" w:rsidP="00B27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22" w:rsidRDefault="00006822" w:rsidP="001D6749">
      <w:pPr>
        <w:spacing w:after="0" w:line="240" w:lineRule="auto"/>
      </w:pPr>
      <w:r>
        <w:separator/>
      </w:r>
    </w:p>
  </w:endnote>
  <w:endnote w:type="continuationSeparator" w:id="0">
    <w:p w:rsidR="00006822" w:rsidRDefault="0000682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BD" w:rsidRDefault="00D74A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17181"/>
      <w:docPartObj>
        <w:docPartGallery w:val="Page Numbers (Bottom of Page)"/>
        <w:docPartUnique/>
      </w:docPartObj>
    </w:sdtPr>
    <w:sdtEndPr/>
    <w:sdtContent>
      <w:p w:rsidR="00BD22D0" w:rsidRDefault="00BD22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BD">
          <w:rPr>
            <w:noProof/>
          </w:rPr>
          <w:t>10</w:t>
        </w:r>
        <w:r>
          <w:fldChar w:fldCharType="end"/>
        </w:r>
      </w:p>
    </w:sdtContent>
  </w:sdt>
  <w:p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BD" w:rsidRDefault="00D74ABD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56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74ABD" w:rsidRDefault="00D74AB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D6749" w:rsidRPr="001D6749" w:rsidRDefault="001D6749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22" w:rsidRDefault="00006822" w:rsidP="001D6749">
      <w:pPr>
        <w:spacing w:after="0" w:line="240" w:lineRule="auto"/>
      </w:pPr>
      <w:r>
        <w:separator/>
      </w:r>
    </w:p>
  </w:footnote>
  <w:footnote w:type="continuationSeparator" w:id="0">
    <w:p w:rsidR="00006822" w:rsidRDefault="0000682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BD" w:rsidRDefault="00D74A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BD" w:rsidRDefault="00D74AB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6822"/>
    <w:rsid w:val="000274D0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53DF3"/>
    <w:rsid w:val="00466488"/>
    <w:rsid w:val="004714B0"/>
    <w:rsid w:val="004F2664"/>
    <w:rsid w:val="0051643C"/>
    <w:rsid w:val="00520808"/>
    <w:rsid w:val="00585AD3"/>
    <w:rsid w:val="005A57C8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00E77"/>
    <w:rsid w:val="00A30F1C"/>
    <w:rsid w:val="00A53AFA"/>
    <w:rsid w:val="00A605B0"/>
    <w:rsid w:val="00A87D5B"/>
    <w:rsid w:val="00AF39B8"/>
    <w:rsid w:val="00B27969"/>
    <w:rsid w:val="00B4080A"/>
    <w:rsid w:val="00B437B3"/>
    <w:rsid w:val="00B90A2F"/>
    <w:rsid w:val="00BC22E3"/>
    <w:rsid w:val="00BD22D0"/>
    <w:rsid w:val="00C63956"/>
    <w:rsid w:val="00C77AA2"/>
    <w:rsid w:val="00CA023C"/>
    <w:rsid w:val="00CA3E12"/>
    <w:rsid w:val="00CA6BAF"/>
    <w:rsid w:val="00CB3623"/>
    <w:rsid w:val="00CD1A10"/>
    <w:rsid w:val="00CD4982"/>
    <w:rsid w:val="00D74ABD"/>
    <w:rsid w:val="00D829FE"/>
    <w:rsid w:val="00D921AE"/>
    <w:rsid w:val="00DA4453"/>
    <w:rsid w:val="00DB5A8C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81F2-251D-4F04-B00D-33E11EED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8464</Characters>
  <Application>Microsoft Office Word</Application>
  <DocSecurity>4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Elzerová Jana</cp:lastModifiedBy>
  <cp:revision>2</cp:revision>
  <cp:lastPrinted>2016-03-03T08:34:00Z</cp:lastPrinted>
  <dcterms:created xsi:type="dcterms:W3CDTF">2016-08-11T11:53:00Z</dcterms:created>
  <dcterms:modified xsi:type="dcterms:W3CDTF">2016-08-11T11:53:00Z</dcterms:modified>
</cp:coreProperties>
</file>