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A45" w:rsidRPr="0007730A" w:rsidRDefault="00153A45" w:rsidP="00153A45">
      <w:pPr>
        <w:spacing w:before="120"/>
        <w:ind w:firstLine="566"/>
        <w:jc w:val="center"/>
        <w:rPr>
          <w:b/>
        </w:rPr>
      </w:pPr>
      <w:r>
        <w:rPr>
          <w:b/>
        </w:rPr>
        <w:t>Predkladacia správa</w:t>
      </w:r>
    </w:p>
    <w:p w:rsidR="00153A45" w:rsidRDefault="00153A45" w:rsidP="00153A45">
      <w:pPr>
        <w:spacing w:before="120"/>
        <w:ind w:firstLine="566"/>
        <w:jc w:val="both"/>
      </w:pPr>
      <w:r>
        <w:t>Ministerstvo hospodárstva SR vypracovalo „</w:t>
      </w:r>
      <w:r w:rsidR="00371CF6">
        <w:t>Návrh z</w:t>
      </w:r>
      <w:r w:rsidR="00371CF6" w:rsidRPr="00063AE9">
        <w:t>ákon</w:t>
      </w:r>
      <w:r w:rsidR="00371CF6">
        <w:t xml:space="preserve">a </w:t>
      </w:r>
      <w:r w:rsidR="00371CF6" w:rsidRPr="00063AE9">
        <w:t>o vyk</w:t>
      </w:r>
      <w:r w:rsidR="00371CF6">
        <w:t>onávaní medzinárodných sankcií a </w:t>
      </w:r>
      <w:r w:rsidR="00371CF6" w:rsidRPr="00F27465">
        <w:t>o zmene a doplnení niektorých zákonov</w:t>
      </w:r>
      <w:r>
        <w:t xml:space="preserve"> ako iniciatívny návrh. </w:t>
      </w:r>
    </w:p>
    <w:p w:rsidR="00153A45" w:rsidRDefault="00153A45" w:rsidP="00153A45">
      <w:pPr>
        <w:jc w:val="both"/>
      </w:pPr>
    </w:p>
    <w:p w:rsidR="00153A45" w:rsidRDefault="00153A45" w:rsidP="00153A45">
      <w:pPr>
        <w:ind w:firstLine="566"/>
        <w:jc w:val="both"/>
      </w:pPr>
      <w:r>
        <w:t xml:space="preserve">Slovenská republika bola 19. 1. 1993 prijatá za člena Organizácie spojených národov (ďalej len „OSN“) a okrem práv, ktoré pre ňu z členstva v OSN vyplynuli (právo na individuálnu a kolektívnu sebaobranu podľa čl. 51 Charty OSN) prevzala prirodzene aj záväzky. Jedným z najdôležitejších je uvedený v čl. 25 Charty OSN, podľa ktorého: „členovia OSN súhlasia, že príjmu a vykonajú rozhodnutia Bezpečnostnej rady OSN podľa tejto charty“. Uvedené ustanovenie charty OSN predstavuje logický dôsledok existencie jej článku 24, podľa ktorého členovia OSN zverujú Bezpečnostnej rade hlavnú zodpovednosť za zachovanie medzinárodného mieru a bezpečnosti a súčasne uznávajú, že: „Bezpečnostná rada plniac svoje povinnosti ... koná v ich mene“. Medzi rozhodnutia Bezpečnostnej rady, ktoré sa členské štáty OSN zaviazali „prijať a vykonať“, patria aj tie, ktoré prijala podľa kapitoly VII. Charty OSN. Potom, čo Bezpečnostná rada OSN podľa čl. 39 Charty rozhodla, že došlo k „ohrozeniu mieru, porušeniu mieru alebo útočnému činu“, odporučí alebo rozhodne, aké opatrenia sa majú urobiť podľa čl. 41 a 42, aby bol zachovaný medzinárodný mier a bezpečnosť. Čl. 42 umožňuje Bezpečnostnej rade rozhodnúť o opatreniach s použitím ozbrojenej sily a čl. 41 o opatreniach bez použitia ozbrojenej sily. Tieto rezolúcie a rozhodnutia Bezpečnostnej rady OSN založené na čl. 41 Charty OSN je potrebné považovať za také, ktoré sú členské štáty OSN v súlade s čl. 25 Charty povinné prijať a vykonať. Ich účelom je zabezpečenie stavu požadovaného rozhodnutím Bezpečnostnej rady, t. j. prerušenie obchodných a hospodárskych stykov, železničných, námorných a leteckých spojení, ako aj uvalenie finančných sankcií. </w:t>
      </w:r>
    </w:p>
    <w:p w:rsidR="00153A45" w:rsidRDefault="00153A45" w:rsidP="00153A45">
      <w:pPr>
        <w:jc w:val="both"/>
      </w:pPr>
    </w:p>
    <w:p w:rsidR="00153A45" w:rsidRPr="00C17EAF" w:rsidRDefault="00153A45" w:rsidP="00153A45">
      <w:pPr>
        <w:spacing w:before="120"/>
        <w:ind w:firstLine="566"/>
        <w:jc w:val="both"/>
        <w:rPr>
          <w:rStyle w:val="Textzstupnhosymbolu"/>
        </w:rPr>
      </w:pPr>
      <w:r>
        <w:tab/>
        <w:t xml:space="preserve"> Zodpovednosť jednotlivých štátov za medzinárodné protiprávne správanie predpokladá dva prvky: musí ísť o konanie alebo o opomenutie konania, ktoré predstavuje porušenie medzinárodného záväzku tohto štátu aj napriek tomu, že z pohľadu medzinárodného práva neexistuje žiadna univerzálna medzinárodná zmluva, ktorá by zastrešovala všetky formy boja proti medzinárodnému terorizmu. Slovenská republika sa v roku 2004 stala členským štátom Európskej únie. Z toho dôvodu sú pre ňu záväzné aj právne akty v oblasti spoločnej zahraničnej a bezpečnostnej politiky, preto sú pre ňu záväzné rozhodnutia Rady Európskej únie prijaté podľa čl. </w:t>
      </w:r>
      <w:smartTag w:uri="urn:schemas-microsoft-com:office:smarttags" w:element="metricconverter">
        <w:smartTagPr>
          <w:attr w:name="ProductID" w:val="28 a"/>
        </w:smartTagPr>
        <w:r>
          <w:t>28 a</w:t>
        </w:r>
      </w:smartTag>
      <w:r>
        <w:t xml:space="preserve"> 29 Zmluvy o Európskej únii alebo spoločné akcie prijaté podľa ustanovení článkov 75 a 215 Zmluvy o Európskej únii.</w:t>
      </w:r>
    </w:p>
    <w:p w:rsidR="00153A45" w:rsidRDefault="00153A45" w:rsidP="00153A45">
      <w:pPr>
        <w:pStyle w:val="Normlnywebov"/>
        <w:spacing w:before="0" w:beforeAutospacing="0" w:after="0" w:afterAutospacing="0"/>
        <w:ind w:firstLine="708"/>
        <w:jc w:val="both"/>
      </w:pPr>
    </w:p>
    <w:p w:rsidR="00153A45" w:rsidRPr="00D14C62" w:rsidRDefault="00153A45" w:rsidP="00153A45">
      <w:pPr>
        <w:spacing w:after="200" w:line="276" w:lineRule="auto"/>
        <w:ind w:firstLine="360"/>
        <w:jc w:val="both"/>
      </w:pPr>
      <w:r>
        <w:rPr>
          <w:rFonts w:eastAsia="Arial Unicode MS"/>
          <w:color w:val="000000" w:themeColor="text1"/>
        </w:rPr>
        <w:t xml:space="preserve">    Cieľom predloženého návrhu zákona je </w:t>
      </w:r>
      <w:r w:rsidRPr="00D14C62">
        <w:t>nastavenie presného a</w:t>
      </w:r>
      <w:r>
        <w:t> jasného postupu pre vykonávanie medzinárodných sankcií v podmienkach Slovenskej republiky, s dôrazom na zaistenie finančných a iných aktív sankcionovaných osôb, p</w:t>
      </w:r>
      <w:r w:rsidRPr="00D14C62">
        <w:t>resná špecifikácia právomocí a povinností kompetentn</w:t>
      </w:r>
      <w:r>
        <w:t>ých orgánov v oblasti vykonávania medzinárodných sankcií, úprava postupu pri</w:t>
      </w:r>
      <w:r w:rsidRPr="00D14C62">
        <w:t> zaraden</w:t>
      </w:r>
      <w:r>
        <w:t>í</w:t>
      </w:r>
      <w:r w:rsidRPr="00D14C62">
        <w:t xml:space="preserve"> </w:t>
      </w:r>
      <w:r>
        <w:t xml:space="preserve">a vyradení </w:t>
      </w:r>
      <w:r w:rsidRPr="00D14C62">
        <w:t>na</w:t>
      </w:r>
      <w:r>
        <w:t>/zo</w:t>
      </w:r>
      <w:r w:rsidRPr="00D14C62">
        <w:t xml:space="preserve"> zoznam</w:t>
      </w:r>
      <w:r>
        <w:t xml:space="preserve">ov sankcionovaných osôb na úrovni Európskej únie alebo Bezpečnostnej Rady OSN, </w:t>
      </w:r>
      <w:r w:rsidRPr="00D14C62">
        <w:t>informovanie osôb o za</w:t>
      </w:r>
      <w:r>
        <w:t xml:space="preserve">radení, vyradení, ako aj právo odvolania sa a </w:t>
      </w:r>
      <w:r w:rsidRPr="00D14C62">
        <w:t xml:space="preserve">obhajoby pre </w:t>
      </w:r>
      <w:r>
        <w:t xml:space="preserve">tieto osoby a stanovenie právomoci </w:t>
      </w:r>
      <w:r w:rsidRPr="00D14C62">
        <w:t>št</w:t>
      </w:r>
      <w:r>
        <w:t>átnych orgánov v procese zaistenia finančných a iných aktív teroristov a sankcionovaných osôb.</w:t>
      </w:r>
    </w:p>
    <w:p w:rsidR="00153A45" w:rsidRPr="006031D9" w:rsidRDefault="00153A45" w:rsidP="00153A45">
      <w:pPr>
        <w:jc w:val="both"/>
        <w:rPr>
          <w:color w:val="000000" w:themeColor="text1"/>
        </w:rPr>
      </w:pPr>
      <w:r>
        <w:rPr>
          <w:color w:val="000000" w:themeColor="text1"/>
        </w:rPr>
        <w:t xml:space="preserve">              </w:t>
      </w:r>
      <w:r w:rsidRPr="006031D9">
        <w:rPr>
          <w:color w:val="000000" w:themeColor="text1"/>
        </w:rPr>
        <w:t xml:space="preserve">Zákon č. 126/2011 Z. z. o vykonávaní medzinárodných sankcií </w:t>
      </w:r>
      <w:r>
        <w:rPr>
          <w:color w:val="000000" w:themeColor="text1"/>
        </w:rPr>
        <w:t xml:space="preserve">v znení neskorších predpisov </w:t>
      </w:r>
      <w:r w:rsidRPr="006031D9">
        <w:rPr>
          <w:color w:val="000000" w:themeColor="text1"/>
        </w:rPr>
        <w:t xml:space="preserve">zabezpečujúcich medzinárodný mier a bezpečnosť vzhľadom na súčasnú bezpečnostnú </w:t>
      </w:r>
      <w:r>
        <w:rPr>
          <w:color w:val="000000" w:themeColor="text1"/>
        </w:rPr>
        <w:t xml:space="preserve">situáciu a </w:t>
      </w:r>
      <w:r w:rsidRPr="00220EA7">
        <w:rPr>
          <w:color w:val="000000" w:themeColor="text1"/>
        </w:rPr>
        <w:t>po sprísnení legislatívy na pôde EÚ a</w:t>
      </w:r>
      <w:r>
        <w:rPr>
          <w:color w:val="000000" w:themeColor="text1"/>
        </w:rPr>
        <w:t xml:space="preserve"> BR </w:t>
      </w:r>
      <w:r w:rsidRPr="00220EA7">
        <w:rPr>
          <w:color w:val="000000" w:themeColor="text1"/>
        </w:rPr>
        <w:t>OSN v oblasti boja proti financovaniu terorizmu už nezodpovedá prijatým záväzkom</w:t>
      </w:r>
      <w:r>
        <w:rPr>
          <w:color w:val="000000" w:themeColor="text1"/>
        </w:rPr>
        <w:t xml:space="preserve"> Slovenskej republiky </w:t>
      </w:r>
      <w:r w:rsidRPr="00220EA7">
        <w:rPr>
          <w:color w:val="000000" w:themeColor="text1"/>
        </w:rPr>
        <w:t>a </w:t>
      </w:r>
      <w:r w:rsidRPr="00220EA7">
        <w:t xml:space="preserve">nie je </w:t>
      </w:r>
      <w:r w:rsidRPr="00220EA7">
        <w:lastRenderedPageBreak/>
        <w:t xml:space="preserve">v súlade so 40 odporúčaniami </w:t>
      </w:r>
      <w:r>
        <w:t xml:space="preserve">finančnej akčnej skupiny </w:t>
      </w:r>
      <w:r w:rsidRPr="00220EA7">
        <w:t xml:space="preserve">FATF v oblasti </w:t>
      </w:r>
      <w:r>
        <w:t>zaistenia (zmrazovania)</w:t>
      </w:r>
      <w:r w:rsidRPr="00220EA7">
        <w:t xml:space="preserve"> finančných a iných aktív t</w:t>
      </w:r>
      <w:r>
        <w:t xml:space="preserve">eroristov a sankcionovaných osôb. </w:t>
      </w:r>
      <w:r w:rsidRPr="00220EA7">
        <w:t xml:space="preserve">Revidovaná legislatíva vyžaduje od členských štátov, aby zaviedli efektívne postupy pre </w:t>
      </w:r>
      <w:r>
        <w:t>zaistenie</w:t>
      </w:r>
      <w:r w:rsidRPr="00220EA7">
        <w:t xml:space="preserve"> finančných a iných aktív </w:t>
      </w:r>
      <w:r>
        <w:t>sankcionovaných osôb</w:t>
      </w:r>
      <w:r w:rsidRPr="00220EA7">
        <w:t>, čo zname</w:t>
      </w:r>
      <w:r>
        <w:t>ná, aby k zaisteniu</w:t>
      </w:r>
      <w:r w:rsidRPr="00220EA7">
        <w:t xml:space="preserve"> </w:t>
      </w:r>
      <w:r>
        <w:t xml:space="preserve">predmetných aktív </w:t>
      </w:r>
      <w:r w:rsidRPr="00220EA7">
        <w:t>došlo bezodkladne a bez výstrahy oz</w:t>
      </w:r>
      <w:r>
        <w:t xml:space="preserve">načených osôb, ktorých zoznam zverejňuje BR </w:t>
      </w:r>
      <w:r w:rsidRPr="00220EA7">
        <w:t>OSN a ktor</w:t>
      </w:r>
      <w:r>
        <w:t>ý</w:t>
      </w:r>
      <w:r w:rsidRPr="00220EA7">
        <w:t xml:space="preserve"> </w:t>
      </w:r>
      <w:r>
        <w:t>je</w:t>
      </w:r>
      <w:r w:rsidRPr="00220EA7">
        <w:t xml:space="preserve"> následne implementovan</w:t>
      </w:r>
      <w:r>
        <w:t>ý</w:t>
      </w:r>
      <w:r w:rsidRPr="00220EA7">
        <w:t xml:space="preserve"> do nariadení EÚ.</w:t>
      </w:r>
    </w:p>
    <w:p w:rsidR="00153A45" w:rsidRPr="006031D9" w:rsidRDefault="00153A45" w:rsidP="00153A45">
      <w:pPr>
        <w:jc w:val="both"/>
        <w:rPr>
          <w:color w:val="000000" w:themeColor="text1"/>
        </w:rPr>
      </w:pPr>
      <w:r>
        <w:rPr>
          <w:color w:val="000000" w:themeColor="text1"/>
        </w:rPr>
        <w:t xml:space="preserve">           </w:t>
      </w:r>
      <w:r w:rsidRPr="006031D9">
        <w:rPr>
          <w:color w:val="000000" w:themeColor="text1"/>
        </w:rPr>
        <w:t xml:space="preserve"> </w:t>
      </w:r>
    </w:p>
    <w:p w:rsidR="00153A45" w:rsidRPr="00B60C21" w:rsidRDefault="00153A45" w:rsidP="00153A45">
      <w:pPr>
        <w:spacing w:after="200" w:line="276" w:lineRule="auto"/>
        <w:jc w:val="both"/>
      </w:pPr>
      <w:r w:rsidRPr="00126499">
        <w:rPr>
          <w:color w:val="000000" w:themeColor="text1"/>
          <w:spacing w:val="5"/>
        </w:rPr>
        <w:t xml:space="preserve">         </w:t>
      </w:r>
      <w:r>
        <w:rPr>
          <w:color w:val="000000" w:themeColor="text1"/>
          <w:spacing w:val="5"/>
        </w:rPr>
        <w:t xml:space="preserve">     </w:t>
      </w:r>
      <w:r w:rsidRPr="00126499">
        <w:rPr>
          <w:color w:val="000000" w:themeColor="text1"/>
          <w:spacing w:val="5"/>
        </w:rPr>
        <w:t>Slovenská republika ako členská krajina E</w:t>
      </w:r>
      <w:r>
        <w:rPr>
          <w:color w:val="000000" w:themeColor="text1"/>
          <w:spacing w:val="5"/>
        </w:rPr>
        <w:t xml:space="preserve">urópskej únie </w:t>
      </w:r>
      <w:r w:rsidRPr="00126499">
        <w:rPr>
          <w:color w:val="000000" w:themeColor="text1"/>
          <w:spacing w:val="5"/>
        </w:rPr>
        <w:t>a výboru MONEYVAL je zodpovedná za plnenie úloh, ktoré jej vyplývajú z legislatívnych opatrení týkajúcich sa oblasti boja proti financovaniu terorizmu.</w:t>
      </w:r>
      <w:r>
        <w:rPr>
          <w:color w:val="000000" w:themeColor="text1"/>
          <w:spacing w:val="5"/>
        </w:rPr>
        <w:t xml:space="preserve"> </w:t>
      </w:r>
      <w:r w:rsidRPr="00126499">
        <w:rPr>
          <w:color w:val="000000" w:themeColor="text1"/>
          <w:spacing w:val="5"/>
        </w:rPr>
        <w:t xml:space="preserve">MONEYVAL, výbor Rady Európy je zodpovedný za </w:t>
      </w:r>
      <w:r w:rsidRPr="00126499">
        <w:rPr>
          <w:color w:val="000000" w:themeColor="text1"/>
        </w:rPr>
        <w:t xml:space="preserve">hodnotenie opatrení v oblasti boja proti legalizácii príjmov z trestnej činnosti a financovania terorizmu a súčasne </w:t>
      </w:r>
      <w:r w:rsidRPr="00126499">
        <w:rPr>
          <w:color w:val="000000" w:themeColor="text1"/>
          <w:spacing w:val="5"/>
        </w:rPr>
        <w:t>v</w:t>
      </w:r>
      <w:r w:rsidRPr="00126499">
        <w:rPr>
          <w:color w:val="000000" w:themeColor="text1"/>
          <w:spacing w:val="-5"/>
        </w:rPr>
        <w:t>y</w:t>
      </w:r>
      <w:r w:rsidRPr="00126499">
        <w:rPr>
          <w:color w:val="000000" w:themeColor="text1"/>
        </w:rPr>
        <w:t>ko</w:t>
      </w:r>
      <w:r w:rsidRPr="00126499">
        <w:rPr>
          <w:color w:val="000000" w:themeColor="text1"/>
          <w:spacing w:val="2"/>
        </w:rPr>
        <w:t>n</w:t>
      </w:r>
      <w:r w:rsidRPr="00126499">
        <w:rPr>
          <w:color w:val="000000" w:themeColor="text1"/>
          <w:spacing w:val="-1"/>
        </w:rPr>
        <w:t>á</w:t>
      </w:r>
      <w:r w:rsidRPr="00126499">
        <w:rPr>
          <w:color w:val="000000" w:themeColor="text1"/>
        </w:rPr>
        <w:t>va</w:t>
      </w:r>
      <w:r w:rsidRPr="00126499">
        <w:rPr>
          <w:color w:val="000000" w:themeColor="text1"/>
          <w:spacing w:val="-2"/>
        </w:rPr>
        <w:t xml:space="preserve"> </w:t>
      </w:r>
      <w:r w:rsidRPr="00126499">
        <w:rPr>
          <w:color w:val="000000" w:themeColor="text1"/>
          <w:spacing w:val="1"/>
        </w:rPr>
        <w:t>m</w:t>
      </w:r>
      <w:r w:rsidRPr="00126499">
        <w:rPr>
          <w:color w:val="000000" w:themeColor="text1"/>
        </w:rPr>
        <w:t>on</w:t>
      </w:r>
      <w:r w:rsidRPr="00126499">
        <w:rPr>
          <w:color w:val="000000" w:themeColor="text1"/>
          <w:spacing w:val="1"/>
        </w:rPr>
        <w:t>it</w:t>
      </w:r>
      <w:r w:rsidRPr="00126499">
        <w:rPr>
          <w:color w:val="000000" w:themeColor="text1"/>
        </w:rPr>
        <w:t>o</w:t>
      </w:r>
      <w:r w:rsidRPr="00126499">
        <w:rPr>
          <w:color w:val="000000" w:themeColor="text1"/>
          <w:spacing w:val="-1"/>
        </w:rPr>
        <w:t>r</w:t>
      </w:r>
      <w:r w:rsidRPr="00126499">
        <w:rPr>
          <w:color w:val="000000" w:themeColor="text1"/>
          <w:spacing w:val="1"/>
        </w:rPr>
        <w:t>i</w:t>
      </w:r>
      <w:r w:rsidRPr="00126499">
        <w:rPr>
          <w:color w:val="000000" w:themeColor="text1"/>
        </w:rPr>
        <w:t>ng</w:t>
      </w:r>
      <w:r w:rsidRPr="00126499">
        <w:rPr>
          <w:color w:val="000000" w:themeColor="text1"/>
          <w:spacing w:val="-3"/>
        </w:rPr>
        <w:t xml:space="preserve"> </w:t>
      </w:r>
      <w:r w:rsidRPr="00126499">
        <w:rPr>
          <w:color w:val="000000" w:themeColor="text1"/>
          <w:spacing w:val="-1"/>
        </w:rPr>
        <w:t>č</w:t>
      </w:r>
      <w:r w:rsidRPr="00126499">
        <w:rPr>
          <w:color w:val="000000" w:themeColor="text1"/>
          <w:spacing w:val="1"/>
        </w:rPr>
        <w:t>l</w:t>
      </w:r>
      <w:r w:rsidRPr="00126499">
        <w:rPr>
          <w:color w:val="000000" w:themeColor="text1"/>
          <w:spacing w:val="-1"/>
        </w:rPr>
        <w:t>e</w:t>
      </w:r>
      <w:r w:rsidRPr="00126499">
        <w:rPr>
          <w:color w:val="000000" w:themeColor="text1"/>
        </w:rPr>
        <w:t>ns</w:t>
      </w:r>
      <w:r w:rsidRPr="00126499">
        <w:rPr>
          <w:color w:val="000000" w:themeColor="text1"/>
          <w:spacing w:val="5"/>
        </w:rPr>
        <w:t>k</w:t>
      </w:r>
      <w:r w:rsidRPr="00126499">
        <w:rPr>
          <w:color w:val="000000" w:themeColor="text1"/>
          <w:spacing w:val="-5"/>
        </w:rPr>
        <w:t>ý</w:t>
      </w:r>
      <w:r w:rsidRPr="00126499">
        <w:rPr>
          <w:color w:val="000000" w:themeColor="text1"/>
          <w:spacing w:val="2"/>
        </w:rPr>
        <w:t>c</w:t>
      </w:r>
      <w:r w:rsidRPr="00126499">
        <w:rPr>
          <w:color w:val="000000" w:themeColor="text1"/>
        </w:rPr>
        <w:t>h</w:t>
      </w:r>
      <w:r w:rsidRPr="00126499">
        <w:rPr>
          <w:color w:val="000000" w:themeColor="text1"/>
          <w:spacing w:val="2"/>
        </w:rPr>
        <w:t xml:space="preserve"> </w:t>
      </w:r>
      <w:r w:rsidRPr="00126499">
        <w:rPr>
          <w:color w:val="000000" w:themeColor="text1"/>
        </w:rPr>
        <w:t>k</w:t>
      </w:r>
      <w:r w:rsidRPr="00126499">
        <w:rPr>
          <w:color w:val="000000" w:themeColor="text1"/>
          <w:spacing w:val="2"/>
        </w:rPr>
        <w:t>r</w:t>
      </w:r>
      <w:r w:rsidRPr="00126499">
        <w:rPr>
          <w:color w:val="000000" w:themeColor="text1"/>
          <w:spacing w:val="-1"/>
        </w:rPr>
        <w:t>a</w:t>
      </w:r>
      <w:r w:rsidRPr="00126499">
        <w:rPr>
          <w:color w:val="000000" w:themeColor="text1"/>
          <w:spacing w:val="1"/>
        </w:rPr>
        <w:t>jí</w:t>
      </w:r>
      <w:r w:rsidRPr="00126499">
        <w:rPr>
          <w:color w:val="000000" w:themeColor="text1"/>
        </w:rPr>
        <w:t>n</w:t>
      </w:r>
      <w:r w:rsidRPr="00126499">
        <w:rPr>
          <w:color w:val="000000" w:themeColor="text1"/>
          <w:spacing w:val="3"/>
        </w:rPr>
        <w:t xml:space="preserve"> </w:t>
      </w:r>
      <w:r w:rsidRPr="00126499">
        <w:rPr>
          <w:color w:val="000000" w:themeColor="text1"/>
          <w:spacing w:val="1"/>
        </w:rPr>
        <w:t>R</w:t>
      </w:r>
      <w:r w:rsidRPr="00126499">
        <w:rPr>
          <w:color w:val="000000" w:themeColor="text1"/>
          <w:spacing w:val="-1"/>
        </w:rPr>
        <w:t>a</w:t>
      </w:r>
      <w:r w:rsidRPr="00126499">
        <w:rPr>
          <w:color w:val="000000" w:themeColor="text1"/>
          <w:spacing w:val="2"/>
        </w:rPr>
        <w:t>d</w:t>
      </w:r>
      <w:r w:rsidRPr="00126499">
        <w:rPr>
          <w:color w:val="000000" w:themeColor="text1"/>
        </w:rPr>
        <w:t>y</w:t>
      </w:r>
      <w:r w:rsidRPr="00126499">
        <w:rPr>
          <w:color w:val="000000" w:themeColor="text1"/>
          <w:spacing w:val="1"/>
        </w:rPr>
        <w:t xml:space="preserve"> </w:t>
      </w:r>
      <w:r w:rsidRPr="00126499">
        <w:rPr>
          <w:color w:val="000000" w:themeColor="text1"/>
        </w:rPr>
        <w:t>Eu</w:t>
      </w:r>
      <w:r w:rsidRPr="00126499">
        <w:rPr>
          <w:color w:val="000000" w:themeColor="text1"/>
          <w:spacing w:val="-1"/>
        </w:rPr>
        <w:t>r</w:t>
      </w:r>
      <w:r w:rsidRPr="00126499">
        <w:rPr>
          <w:color w:val="000000" w:themeColor="text1"/>
        </w:rPr>
        <w:t>ó</w:t>
      </w:r>
      <w:r w:rsidRPr="00126499">
        <w:rPr>
          <w:color w:val="000000" w:themeColor="text1"/>
          <w:spacing w:val="5"/>
        </w:rPr>
        <w:t>p</w:t>
      </w:r>
      <w:r w:rsidRPr="00126499">
        <w:rPr>
          <w:color w:val="000000" w:themeColor="text1"/>
        </w:rPr>
        <w:t>y</w:t>
      </w:r>
      <w:r w:rsidRPr="00126499">
        <w:rPr>
          <w:color w:val="000000" w:themeColor="text1"/>
          <w:spacing w:val="-1"/>
        </w:rPr>
        <w:t xml:space="preserve"> </w:t>
      </w:r>
      <w:r w:rsidRPr="00126499">
        <w:rPr>
          <w:color w:val="000000" w:themeColor="text1"/>
        </w:rPr>
        <w:t>v</w:t>
      </w:r>
      <w:r w:rsidRPr="00126499">
        <w:rPr>
          <w:color w:val="000000" w:themeColor="text1"/>
          <w:spacing w:val="-1"/>
        </w:rPr>
        <w:t xml:space="preserve"> </w:t>
      </w:r>
      <w:r w:rsidRPr="00126499">
        <w:rPr>
          <w:color w:val="000000" w:themeColor="text1"/>
        </w:rPr>
        <w:t>ob</w:t>
      </w:r>
      <w:r w:rsidRPr="00126499">
        <w:rPr>
          <w:color w:val="000000" w:themeColor="text1"/>
          <w:spacing w:val="1"/>
        </w:rPr>
        <w:t>l</w:t>
      </w:r>
      <w:r w:rsidRPr="00126499">
        <w:rPr>
          <w:color w:val="000000" w:themeColor="text1"/>
          <w:spacing w:val="-1"/>
        </w:rPr>
        <w:t>a</w:t>
      </w:r>
      <w:r w:rsidRPr="00126499">
        <w:rPr>
          <w:color w:val="000000" w:themeColor="text1"/>
          <w:spacing w:val="3"/>
        </w:rPr>
        <w:t>s</w:t>
      </w:r>
      <w:r w:rsidRPr="00126499">
        <w:rPr>
          <w:color w:val="000000" w:themeColor="text1"/>
          <w:spacing w:val="1"/>
        </w:rPr>
        <w:t>t</w:t>
      </w:r>
      <w:r w:rsidRPr="00126499">
        <w:rPr>
          <w:color w:val="000000" w:themeColor="text1"/>
        </w:rPr>
        <w:t>i</w:t>
      </w:r>
      <w:r w:rsidRPr="00126499">
        <w:rPr>
          <w:color w:val="000000" w:themeColor="text1"/>
          <w:spacing w:val="2"/>
        </w:rPr>
        <w:t xml:space="preserve"> uplatňovania z</w:t>
      </w:r>
      <w:r w:rsidRPr="00126499">
        <w:rPr>
          <w:color w:val="000000" w:themeColor="text1"/>
          <w:spacing w:val="-1"/>
        </w:rPr>
        <w:t>á</w:t>
      </w:r>
      <w:r w:rsidRPr="00126499">
        <w:rPr>
          <w:color w:val="000000" w:themeColor="text1"/>
        </w:rPr>
        <w:t>k</w:t>
      </w:r>
      <w:r w:rsidRPr="00126499">
        <w:rPr>
          <w:color w:val="000000" w:themeColor="text1"/>
          <w:spacing w:val="1"/>
        </w:rPr>
        <w:t>l</w:t>
      </w:r>
      <w:r w:rsidRPr="00126499">
        <w:rPr>
          <w:color w:val="000000" w:themeColor="text1"/>
          <w:spacing w:val="-1"/>
        </w:rPr>
        <w:t>a</w:t>
      </w:r>
      <w:r w:rsidRPr="00126499">
        <w:rPr>
          <w:color w:val="000000" w:themeColor="text1"/>
        </w:rPr>
        <w:t>d</w:t>
      </w:r>
      <w:r w:rsidRPr="00126499">
        <w:rPr>
          <w:color w:val="000000" w:themeColor="text1"/>
          <w:spacing w:val="2"/>
        </w:rPr>
        <w:t>n</w:t>
      </w:r>
      <w:r w:rsidRPr="00126499">
        <w:rPr>
          <w:color w:val="000000" w:themeColor="text1"/>
          <w:spacing w:val="-5"/>
        </w:rPr>
        <w:t>ý</w:t>
      </w:r>
      <w:r w:rsidRPr="00126499">
        <w:rPr>
          <w:color w:val="000000" w:themeColor="text1"/>
          <w:spacing w:val="-1"/>
        </w:rPr>
        <w:t>c</w:t>
      </w:r>
      <w:r w:rsidRPr="00126499">
        <w:rPr>
          <w:color w:val="000000" w:themeColor="text1"/>
        </w:rPr>
        <w:t>h</w:t>
      </w:r>
      <w:r w:rsidRPr="00126499">
        <w:rPr>
          <w:color w:val="000000" w:themeColor="text1"/>
          <w:spacing w:val="2"/>
        </w:rPr>
        <w:t xml:space="preserve"> p</w:t>
      </w:r>
      <w:r w:rsidRPr="00126499">
        <w:rPr>
          <w:color w:val="000000" w:themeColor="text1"/>
          <w:spacing w:val="-1"/>
        </w:rPr>
        <w:t>ra</w:t>
      </w:r>
      <w:r w:rsidRPr="00126499">
        <w:rPr>
          <w:color w:val="000000" w:themeColor="text1"/>
        </w:rPr>
        <w:t>v</w:t>
      </w:r>
      <w:r w:rsidRPr="00126499">
        <w:rPr>
          <w:color w:val="000000" w:themeColor="text1"/>
          <w:spacing w:val="1"/>
        </w:rPr>
        <w:t>i</w:t>
      </w:r>
      <w:r w:rsidRPr="00126499">
        <w:rPr>
          <w:color w:val="000000" w:themeColor="text1"/>
        </w:rPr>
        <w:t>d</w:t>
      </w:r>
      <w:r w:rsidRPr="00126499">
        <w:rPr>
          <w:color w:val="000000" w:themeColor="text1"/>
          <w:spacing w:val="1"/>
        </w:rPr>
        <w:t>i</w:t>
      </w:r>
      <w:r w:rsidRPr="00126499">
        <w:rPr>
          <w:color w:val="000000" w:themeColor="text1"/>
          <w:spacing w:val="-1"/>
        </w:rPr>
        <w:t>e</w:t>
      </w:r>
      <w:r w:rsidRPr="00126499">
        <w:rPr>
          <w:color w:val="000000" w:themeColor="text1"/>
        </w:rPr>
        <w:t>l v oblasti</w:t>
      </w:r>
      <w:r w:rsidRPr="00126499">
        <w:rPr>
          <w:color w:val="000000" w:themeColor="text1"/>
          <w:spacing w:val="2"/>
        </w:rPr>
        <w:t xml:space="preserve"> b</w:t>
      </w:r>
      <w:r w:rsidRPr="00126499">
        <w:rPr>
          <w:color w:val="000000" w:themeColor="text1"/>
        </w:rPr>
        <w:t>o</w:t>
      </w:r>
      <w:r w:rsidRPr="00126499">
        <w:rPr>
          <w:color w:val="000000" w:themeColor="text1"/>
          <w:spacing w:val="1"/>
        </w:rPr>
        <w:t>j</w:t>
      </w:r>
      <w:r w:rsidRPr="00126499">
        <w:rPr>
          <w:color w:val="000000" w:themeColor="text1"/>
        </w:rPr>
        <w:t>a</w:t>
      </w:r>
      <w:r w:rsidRPr="00126499">
        <w:rPr>
          <w:color w:val="000000" w:themeColor="text1"/>
          <w:spacing w:val="3"/>
        </w:rPr>
        <w:t xml:space="preserve"> </w:t>
      </w:r>
      <w:r w:rsidRPr="00126499">
        <w:rPr>
          <w:color w:val="000000" w:themeColor="text1"/>
        </w:rPr>
        <w:t>p</w:t>
      </w:r>
      <w:r w:rsidRPr="00126499">
        <w:rPr>
          <w:color w:val="000000" w:themeColor="text1"/>
          <w:spacing w:val="-1"/>
        </w:rPr>
        <w:t>r</w:t>
      </w:r>
      <w:r w:rsidRPr="00126499">
        <w:rPr>
          <w:color w:val="000000" w:themeColor="text1"/>
        </w:rPr>
        <w:t>o</w:t>
      </w:r>
      <w:r w:rsidRPr="00126499">
        <w:rPr>
          <w:color w:val="000000" w:themeColor="text1"/>
          <w:spacing w:val="1"/>
        </w:rPr>
        <w:t>t</w:t>
      </w:r>
      <w:r w:rsidRPr="00126499">
        <w:rPr>
          <w:color w:val="000000" w:themeColor="text1"/>
        </w:rPr>
        <w:t>i</w:t>
      </w:r>
      <w:r w:rsidRPr="00126499">
        <w:rPr>
          <w:color w:val="000000" w:themeColor="text1"/>
          <w:spacing w:val="4"/>
        </w:rPr>
        <w:t xml:space="preserve"> </w:t>
      </w:r>
      <w:r w:rsidRPr="00126499">
        <w:rPr>
          <w:color w:val="000000" w:themeColor="text1"/>
          <w:spacing w:val="1"/>
        </w:rPr>
        <w:t>l</w:t>
      </w:r>
      <w:r w:rsidRPr="00126499">
        <w:rPr>
          <w:color w:val="000000" w:themeColor="text1"/>
          <w:spacing w:val="2"/>
        </w:rPr>
        <w:t>e</w:t>
      </w:r>
      <w:r w:rsidRPr="00126499">
        <w:rPr>
          <w:color w:val="000000" w:themeColor="text1"/>
          <w:spacing w:val="-2"/>
        </w:rPr>
        <w:t>g</w:t>
      </w:r>
      <w:r w:rsidRPr="00126499">
        <w:rPr>
          <w:color w:val="000000" w:themeColor="text1"/>
          <w:spacing w:val="-1"/>
        </w:rPr>
        <w:t>a</w:t>
      </w:r>
      <w:r w:rsidRPr="00126499">
        <w:rPr>
          <w:color w:val="000000" w:themeColor="text1"/>
          <w:spacing w:val="1"/>
        </w:rPr>
        <w:t>li</w:t>
      </w:r>
      <w:r w:rsidRPr="00126499">
        <w:rPr>
          <w:color w:val="000000" w:themeColor="text1"/>
          <w:spacing w:val="2"/>
        </w:rPr>
        <w:t>z</w:t>
      </w:r>
      <w:r w:rsidRPr="00126499">
        <w:rPr>
          <w:color w:val="000000" w:themeColor="text1"/>
          <w:spacing w:val="-1"/>
        </w:rPr>
        <w:t>ác</w:t>
      </w:r>
      <w:r w:rsidRPr="00126499">
        <w:rPr>
          <w:color w:val="000000" w:themeColor="text1"/>
          <w:spacing w:val="1"/>
        </w:rPr>
        <w:t>i</w:t>
      </w:r>
      <w:r w:rsidRPr="00126499">
        <w:rPr>
          <w:color w:val="000000" w:themeColor="text1"/>
        </w:rPr>
        <w:t>i</w:t>
      </w:r>
      <w:r w:rsidRPr="00126499">
        <w:rPr>
          <w:color w:val="000000" w:themeColor="text1"/>
          <w:spacing w:val="-1"/>
        </w:rPr>
        <w:t xml:space="preserve"> </w:t>
      </w:r>
      <w:r w:rsidRPr="00126499">
        <w:rPr>
          <w:color w:val="000000" w:themeColor="text1"/>
        </w:rPr>
        <w:t>p</w:t>
      </w:r>
      <w:r w:rsidRPr="00126499">
        <w:rPr>
          <w:color w:val="000000" w:themeColor="text1"/>
          <w:spacing w:val="-1"/>
        </w:rPr>
        <w:t>r</w:t>
      </w:r>
      <w:r w:rsidRPr="00126499">
        <w:rPr>
          <w:color w:val="000000" w:themeColor="text1"/>
          <w:spacing w:val="1"/>
        </w:rPr>
        <w:t>íjm</w:t>
      </w:r>
      <w:r w:rsidRPr="00126499">
        <w:rPr>
          <w:color w:val="000000" w:themeColor="text1"/>
        </w:rPr>
        <w:t>ov z</w:t>
      </w:r>
      <w:r w:rsidRPr="00126499">
        <w:rPr>
          <w:color w:val="000000" w:themeColor="text1"/>
          <w:spacing w:val="2"/>
        </w:rPr>
        <w:t xml:space="preserve"> </w:t>
      </w:r>
      <w:r w:rsidRPr="00126499">
        <w:rPr>
          <w:color w:val="000000" w:themeColor="text1"/>
          <w:spacing w:val="1"/>
        </w:rPr>
        <w:t>t</w:t>
      </w:r>
      <w:r w:rsidRPr="00126499">
        <w:rPr>
          <w:color w:val="000000" w:themeColor="text1"/>
          <w:spacing w:val="-1"/>
        </w:rPr>
        <w:t>re</w:t>
      </w:r>
      <w:r w:rsidRPr="00126499">
        <w:rPr>
          <w:color w:val="000000" w:themeColor="text1"/>
        </w:rPr>
        <w:t>s</w:t>
      </w:r>
      <w:r w:rsidRPr="00126499">
        <w:rPr>
          <w:color w:val="000000" w:themeColor="text1"/>
          <w:spacing w:val="1"/>
        </w:rPr>
        <w:t>t</w:t>
      </w:r>
      <w:r w:rsidRPr="00126499">
        <w:rPr>
          <w:color w:val="000000" w:themeColor="text1"/>
        </w:rPr>
        <w:t>n</w:t>
      </w:r>
      <w:r w:rsidRPr="00126499">
        <w:rPr>
          <w:color w:val="000000" w:themeColor="text1"/>
          <w:spacing w:val="-1"/>
        </w:rPr>
        <w:t>e</w:t>
      </w:r>
      <w:r w:rsidRPr="00126499">
        <w:rPr>
          <w:color w:val="000000" w:themeColor="text1"/>
        </w:rPr>
        <w:t xml:space="preserve">j </w:t>
      </w:r>
      <w:r w:rsidRPr="00126499">
        <w:rPr>
          <w:color w:val="000000" w:themeColor="text1"/>
          <w:spacing w:val="1"/>
        </w:rPr>
        <w:t xml:space="preserve"> </w:t>
      </w:r>
      <w:r w:rsidRPr="00126499">
        <w:rPr>
          <w:color w:val="000000" w:themeColor="text1"/>
          <w:spacing w:val="-1"/>
        </w:rPr>
        <w:t>č</w:t>
      </w:r>
      <w:r w:rsidRPr="00126499">
        <w:rPr>
          <w:color w:val="000000" w:themeColor="text1"/>
          <w:spacing w:val="1"/>
        </w:rPr>
        <w:t>i</w:t>
      </w:r>
      <w:r w:rsidRPr="00126499">
        <w:rPr>
          <w:color w:val="000000" w:themeColor="text1"/>
        </w:rPr>
        <w:t>nnos</w:t>
      </w:r>
      <w:r w:rsidRPr="00126499">
        <w:rPr>
          <w:color w:val="000000" w:themeColor="text1"/>
          <w:spacing w:val="1"/>
        </w:rPr>
        <w:t>t</w:t>
      </w:r>
      <w:r w:rsidRPr="00126499">
        <w:rPr>
          <w:color w:val="000000" w:themeColor="text1"/>
        </w:rPr>
        <w:t>i</w:t>
      </w:r>
      <w:r w:rsidRPr="00126499">
        <w:rPr>
          <w:color w:val="000000" w:themeColor="text1"/>
          <w:spacing w:val="49"/>
        </w:rPr>
        <w:t xml:space="preserve"> </w:t>
      </w:r>
      <w:r w:rsidRPr="00126499">
        <w:rPr>
          <w:color w:val="000000" w:themeColor="text1"/>
        </w:rPr>
        <w:t>a</w:t>
      </w:r>
      <w:r w:rsidRPr="00126499">
        <w:rPr>
          <w:color w:val="000000" w:themeColor="text1"/>
          <w:spacing w:val="-1"/>
        </w:rPr>
        <w:t xml:space="preserve"> f</w:t>
      </w:r>
      <w:r w:rsidRPr="00126499">
        <w:rPr>
          <w:color w:val="000000" w:themeColor="text1"/>
          <w:spacing w:val="1"/>
        </w:rPr>
        <w:t>i</w:t>
      </w:r>
      <w:r w:rsidRPr="00126499">
        <w:rPr>
          <w:color w:val="000000" w:themeColor="text1"/>
        </w:rPr>
        <w:t>n</w:t>
      </w:r>
      <w:r w:rsidRPr="00126499">
        <w:rPr>
          <w:color w:val="000000" w:themeColor="text1"/>
          <w:spacing w:val="-1"/>
        </w:rPr>
        <w:t>a</w:t>
      </w:r>
      <w:r w:rsidRPr="00126499">
        <w:rPr>
          <w:color w:val="000000" w:themeColor="text1"/>
        </w:rPr>
        <w:t>n</w:t>
      </w:r>
      <w:r w:rsidRPr="00126499">
        <w:rPr>
          <w:color w:val="000000" w:themeColor="text1"/>
          <w:spacing w:val="-1"/>
        </w:rPr>
        <w:t>c</w:t>
      </w:r>
      <w:r w:rsidRPr="00126499">
        <w:rPr>
          <w:color w:val="000000" w:themeColor="text1"/>
        </w:rPr>
        <w:t>ov</w:t>
      </w:r>
      <w:r w:rsidRPr="00126499">
        <w:rPr>
          <w:color w:val="000000" w:themeColor="text1"/>
          <w:spacing w:val="-1"/>
        </w:rPr>
        <w:t>a</w:t>
      </w:r>
      <w:r w:rsidRPr="00126499">
        <w:rPr>
          <w:color w:val="000000" w:themeColor="text1"/>
        </w:rPr>
        <w:t>n</w:t>
      </w:r>
      <w:r w:rsidRPr="00126499">
        <w:rPr>
          <w:color w:val="000000" w:themeColor="text1"/>
          <w:spacing w:val="1"/>
        </w:rPr>
        <w:t>i</w:t>
      </w:r>
      <w:r w:rsidRPr="00126499">
        <w:rPr>
          <w:color w:val="000000" w:themeColor="text1"/>
        </w:rPr>
        <w:t>a</w:t>
      </w:r>
      <w:r w:rsidRPr="00126499">
        <w:rPr>
          <w:color w:val="000000" w:themeColor="text1"/>
          <w:spacing w:val="48"/>
        </w:rPr>
        <w:t xml:space="preserve"> </w:t>
      </w:r>
      <w:r w:rsidRPr="00126499">
        <w:rPr>
          <w:color w:val="000000" w:themeColor="text1"/>
          <w:spacing w:val="1"/>
        </w:rPr>
        <w:t>t</w:t>
      </w:r>
      <w:r w:rsidRPr="00126499">
        <w:rPr>
          <w:color w:val="000000" w:themeColor="text1"/>
          <w:spacing w:val="-1"/>
        </w:rPr>
        <w:t>er</w:t>
      </w:r>
      <w:r w:rsidRPr="00126499">
        <w:rPr>
          <w:color w:val="000000" w:themeColor="text1"/>
        </w:rPr>
        <w:t>o</w:t>
      </w:r>
      <w:r w:rsidRPr="00126499">
        <w:rPr>
          <w:color w:val="000000" w:themeColor="text1"/>
          <w:spacing w:val="-1"/>
        </w:rPr>
        <w:t>r</w:t>
      </w:r>
      <w:r w:rsidRPr="00126499">
        <w:rPr>
          <w:color w:val="000000" w:themeColor="text1"/>
          <w:spacing w:val="3"/>
        </w:rPr>
        <w:t>i</w:t>
      </w:r>
      <w:r w:rsidRPr="00126499">
        <w:rPr>
          <w:color w:val="000000" w:themeColor="text1"/>
          <w:spacing w:val="2"/>
        </w:rPr>
        <w:t>z</w:t>
      </w:r>
      <w:r w:rsidRPr="00126499">
        <w:rPr>
          <w:color w:val="000000" w:themeColor="text1"/>
          <w:spacing w:val="1"/>
        </w:rPr>
        <w:t>m</w:t>
      </w:r>
      <w:r w:rsidRPr="00126499">
        <w:rPr>
          <w:color w:val="000000" w:themeColor="text1"/>
        </w:rPr>
        <w:t>u, a teda aj 40 medzinárodných štandardov týkajúcich sa oblasti legalizácie príjmov z trestnej činnosti a financovania terorizmu.</w:t>
      </w:r>
    </w:p>
    <w:p w:rsidR="00153A45" w:rsidRDefault="00153A45" w:rsidP="00153A45">
      <w:pPr>
        <w:pStyle w:val="Normlnywebov"/>
        <w:spacing w:before="0" w:beforeAutospacing="0" w:after="0" w:afterAutospacing="0"/>
        <w:ind w:firstLine="708"/>
        <w:jc w:val="both"/>
      </w:pPr>
      <w:r>
        <w:rPr>
          <w:color w:val="000000" w:themeColor="text1"/>
          <w:spacing w:val="-4"/>
        </w:rPr>
        <w:t xml:space="preserve">  </w:t>
      </w:r>
      <w:r w:rsidRPr="007E3CBA">
        <w:rPr>
          <w:color w:val="000000" w:themeColor="text1"/>
          <w:spacing w:val="-4"/>
        </w:rPr>
        <w:t>Jedným z najzávažnejších nedostatkov, pre ktorý je S</w:t>
      </w:r>
      <w:r>
        <w:rPr>
          <w:color w:val="000000" w:themeColor="text1"/>
          <w:spacing w:val="-4"/>
        </w:rPr>
        <w:t>lovenská republika</w:t>
      </w:r>
      <w:r w:rsidRPr="007E3CBA">
        <w:rPr>
          <w:color w:val="000000" w:themeColor="text1"/>
          <w:spacing w:val="-4"/>
        </w:rPr>
        <w:t xml:space="preserve"> kritizovaná, je neplnenie odporúčania vo vzťahu k vykonávaniu medzinárodných sankcií – špeciálne odporúčanie III (“Zmrazenie a zabavenie finančných prostriedkov a aktív teroristov”). </w:t>
      </w:r>
      <w:r w:rsidRPr="00B60C21">
        <w:rPr>
          <w:color w:val="000000" w:themeColor="text1"/>
        </w:rPr>
        <w:t>Z</w:t>
      </w:r>
      <w:r>
        <w:rPr>
          <w:color w:val="000000" w:themeColor="text1"/>
        </w:rPr>
        <w:t> uvedeného vyplýva SR</w:t>
      </w:r>
      <w:r w:rsidRPr="00B60C21">
        <w:rPr>
          <w:color w:val="000000" w:themeColor="text1"/>
        </w:rPr>
        <w:t xml:space="preserve"> povinnosť vytvoriť na národnej úrovni mechanizmus pre</w:t>
      </w:r>
      <w:r w:rsidRPr="004D221B">
        <w:rPr>
          <w:color w:val="000000" w:themeColor="text1"/>
        </w:rPr>
        <w:t xml:space="preserve"> zmrazovanie finančných zdrojov a aktív teroristov alebo sankcionovan</w:t>
      </w:r>
      <w:r>
        <w:rPr>
          <w:color w:val="000000" w:themeColor="text1"/>
        </w:rPr>
        <w:t xml:space="preserve">ých osôb s cieľom eliminácie zneužívania finančného systému SR na </w:t>
      </w:r>
      <w:r w:rsidRPr="004D221B">
        <w:rPr>
          <w:color w:val="000000" w:themeColor="text1"/>
        </w:rPr>
        <w:t>aktivity súvisiace s terorizmom.</w:t>
      </w:r>
      <w:r>
        <w:t xml:space="preserve">  </w:t>
      </w:r>
    </w:p>
    <w:p w:rsidR="00153A45" w:rsidRPr="0007730A" w:rsidRDefault="00153A45" w:rsidP="00153A45">
      <w:pPr>
        <w:pStyle w:val="Normlnywebov"/>
        <w:spacing w:before="0" w:beforeAutospacing="0" w:after="0" w:afterAutospacing="0"/>
        <w:jc w:val="both"/>
        <w:rPr>
          <w:rStyle w:val="Textzstupnhosymbolu"/>
        </w:rPr>
      </w:pPr>
      <w:r>
        <w:t xml:space="preserve">       </w:t>
      </w:r>
      <w:r>
        <w:rPr>
          <w:rStyle w:val="Textzstupnhosymbolu"/>
        </w:rPr>
        <w:t xml:space="preserve">   </w:t>
      </w:r>
      <w:r w:rsidRPr="0007730A">
        <w:rPr>
          <w:rStyle w:val="Textzstupnhosymbolu"/>
        </w:rPr>
        <w:t xml:space="preserve">  </w:t>
      </w:r>
    </w:p>
    <w:p w:rsidR="001B5B8B" w:rsidRDefault="001B5B8B" w:rsidP="001B5B8B">
      <w:pPr>
        <w:ind w:firstLine="708"/>
        <w:jc w:val="both"/>
      </w:pPr>
      <w:r>
        <w:t xml:space="preserve">Materiál nebude predmetom </w:t>
      </w:r>
      <w:proofErr w:type="spellStart"/>
      <w:r>
        <w:t>vnútrokomunitárneho</w:t>
      </w:r>
      <w:proofErr w:type="spellEnd"/>
      <w:r>
        <w:t xml:space="preserve"> pripomienkového konania.</w:t>
      </w:r>
    </w:p>
    <w:p w:rsidR="001B5B8B" w:rsidRDefault="00153A45" w:rsidP="00153A45">
      <w:pPr>
        <w:jc w:val="both"/>
        <w:rPr>
          <w:rStyle w:val="Textzstupnhosymbolu"/>
        </w:rPr>
      </w:pPr>
      <w:r w:rsidRPr="0007730A">
        <w:rPr>
          <w:rStyle w:val="Textzstupnhosymbolu"/>
        </w:rPr>
        <w:t xml:space="preserve">     </w:t>
      </w:r>
      <w:r>
        <w:rPr>
          <w:rStyle w:val="Textzstupnhosymbolu"/>
        </w:rPr>
        <w:t xml:space="preserve">          </w:t>
      </w:r>
    </w:p>
    <w:p w:rsidR="00153A45" w:rsidRDefault="00D31D49" w:rsidP="00D31D49">
      <w:pPr>
        <w:ind w:firstLine="708"/>
        <w:jc w:val="both"/>
      </w:pPr>
      <w:r>
        <w:t xml:space="preserve">Návrh zákona </w:t>
      </w:r>
      <w:r>
        <w:t>predpokladá p</w:t>
      </w:r>
      <w:r w:rsidRPr="00B776B1">
        <w:t>ozitívny vplyv na štátny rozpočet, avšak v súčasnosti nie je možné tento vplyv</w:t>
      </w:r>
      <w:r>
        <w:t xml:space="preserve"> </w:t>
      </w:r>
      <w:r w:rsidRPr="00B776B1">
        <w:t>kvantifikovať</w:t>
      </w:r>
      <w:r>
        <w:t xml:space="preserve">. </w:t>
      </w:r>
      <w:r>
        <w:t xml:space="preserve">Návrh zákona </w:t>
      </w:r>
      <w:bookmarkStart w:id="0" w:name="_GoBack"/>
      <w:bookmarkEnd w:id="0"/>
      <w:r w:rsidRPr="00B776B1">
        <w:t>nebude mať negatívny vplyv na štátny rozpočet</w:t>
      </w:r>
      <w:r>
        <w:t xml:space="preserve"> SR, nepredpokladá žiadne vplyvy na informatizáciu a životné prostredie, ani sociálne vplyvy, vplyvy na podnikateľské prostredie, či vplyvy na služby verejnej správy pre občana.</w:t>
      </w:r>
    </w:p>
    <w:p w:rsidR="00D31D49" w:rsidRDefault="00153A45" w:rsidP="00153A45">
      <w:pPr>
        <w:jc w:val="both"/>
        <w:rPr>
          <w:rStyle w:val="Textzstupnhosymbolu"/>
          <w:color w:val="auto"/>
        </w:rPr>
      </w:pPr>
      <w:r w:rsidRPr="00371CF6">
        <w:rPr>
          <w:rStyle w:val="Textzstupnhosymbolu"/>
          <w:color w:val="auto"/>
        </w:rPr>
        <w:t xml:space="preserve">            </w:t>
      </w:r>
    </w:p>
    <w:p w:rsidR="00153A45" w:rsidRPr="00371CF6" w:rsidRDefault="00153A45" w:rsidP="00D31D49">
      <w:pPr>
        <w:ind w:firstLine="708"/>
        <w:jc w:val="both"/>
      </w:pPr>
      <w:r w:rsidRPr="00371CF6">
        <w:rPr>
          <w:rStyle w:val="Textzstupnhosymbolu"/>
          <w:color w:val="auto"/>
        </w:rPr>
        <w:t>Materiál bol predložený na medzirezortné pripomienkové konanie, ktorého vyhodnotenie je súčasťou materiálu.</w:t>
      </w:r>
      <w:r w:rsidR="00371CF6">
        <w:rPr>
          <w:rStyle w:val="Textzstupnhosymbolu"/>
          <w:color w:val="auto"/>
        </w:rPr>
        <w:t xml:space="preserve"> Na rokovanie Legislatívnej rady vlády SR sa návrh zákona predkladá bez rozporov. </w:t>
      </w:r>
    </w:p>
    <w:p w:rsidR="00153A45" w:rsidRPr="00371CF6" w:rsidRDefault="00153A45" w:rsidP="00153A45">
      <w:pPr>
        <w:jc w:val="center"/>
      </w:pPr>
    </w:p>
    <w:p w:rsidR="00153A45" w:rsidRPr="00371CF6" w:rsidRDefault="00153A45" w:rsidP="00153A45">
      <w:pPr>
        <w:jc w:val="center"/>
      </w:pPr>
    </w:p>
    <w:p w:rsidR="00153A45" w:rsidRPr="00371CF6" w:rsidRDefault="00153A45" w:rsidP="00153A45">
      <w:pPr>
        <w:jc w:val="center"/>
      </w:pPr>
    </w:p>
    <w:p w:rsidR="00B4713F" w:rsidRPr="00371CF6" w:rsidRDefault="00B4713F" w:rsidP="00153A45"/>
    <w:sectPr w:rsidR="00B4713F" w:rsidRPr="00371C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44C5"/>
    <w:multiLevelType w:val="hybridMultilevel"/>
    <w:tmpl w:val="384895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489A7367"/>
    <w:multiLevelType w:val="hybridMultilevel"/>
    <w:tmpl w:val="1CFC59C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EAF"/>
    <w:rsid w:val="00126499"/>
    <w:rsid w:val="00153A45"/>
    <w:rsid w:val="0018021A"/>
    <w:rsid w:val="001B5B8B"/>
    <w:rsid w:val="002464E6"/>
    <w:rsid w:val="00333FA7"/>
    <w:rsid w:val="00350D45"/>
    <w:rsid w:val="00371CF6"/>
    <w:rsid w:val="0058141B"/>
    <w:rsid w:val="00745208"/>
    <w:rsid w:val="00830503"/>
    <w:rsid w:val="00B4713F"/>
    <w:rsid w:val="00C17EAF"/>
    <w:rsid w:val="00D31D49"/>
    <w:rsid w:val="00E51B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17EAF"/>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uiPriority w:val="99"/>
    <w:semiHidden/>
    <w:rsid w:val="00C17EAF"/>
    <w:rPr>
      <w:rFonts w:ascii="Times New Roman" w:hAnsi="Times New Roman"/>
      <w:color w:val="808080"/>
    </w:rPr>
  </w:style>
  <w:style w:type="character" w:customStyle="1" w:styleId="Textzstupnhosymbolu1">
    <w:name w:val="Text zástupného symbolu1"/>
    <w:uiPriority w:val="99"/>
    <w:semiHidden/>
    <w:rsid w:val="00C17EAF"/>
    <w:rPr>
      <w:rFonts w:ascii="Times New Roman" w:hAnsi="Times New Roman"/>
      <w:color w:val="808080"/>
    </w:rPr>
  </w:style>
  <w:style w:type="paragraph" w:styleId="Normlnywebov">
    <w:name w:val="Normal (Web)"/>
    <w:basedOn w:val="Normlny"/>
    <w:uiPriority w:val="99"/>
    <w:unhideWhenUsed/>
    <w:rsid w:val="00B4713F"/>
    <w:pPr>
      <w:spacing w:before="100" w:beforeAutospacing="1" w:after="100" w:afterAutospacing="1"/>
    </w:pPr>
  </w:style>
  <w:style w:type="paragraph" w:styleId="Zkladntext">
    <w:name w:val="Body Text"/>
    <w:basedOn w:val="Normlny"/>
    <w:link w:val="ZkladntextChar"/>
    <w:uiPriority w:val="99"/>
    <w:rsid w:val="00126499"/>
    <w:pPr>
      <w:widowControl w:val="0"/>
    </w:pPr>
    <w:rPr>
      <w:color w:val="000000"/>
    </w:rPr>
  </w:style>
  <w:style w:type="character" w:customStyle="1" w:styleId="ZkladntextChar">
    <w:name w:val="Základný text Char"/>
    <w:basedOn w:val="Predvolenpsmoodseku"/>
    <w:link w:val="Zkladntext"/>
    <w:uiPriority w:val="99"/>
    <w:rsid w:val="00126499"/>
    <w:rPr>
      <w:rFonts w:ascii="Times New Roman" w:eastAsia="Times New Roman" w:hAnsi="Times New Roman" w:cs="Times New Roman"/>
      <w:color w:val="000000"/>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17EAF"/>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uiPriority w:val="99"/>
    <w:semiHidden/>
    <w:rsid w:val="00C17EAF"/>
    <w:rPr>
      <w:rFonts w:ascii="Times New Roman" w:hAnsi="Times New Roman"/>
      <w:color w:val="808080"/>
    </w:rPr>
  </w:style>
  <w:style w:type="character" w:customStyle="1" w:styleId="Textzstupnhosymbolu1">
    <w:name w:val="Text zástupného symbolu1"/>
    <w:uiPriority w:val="99"/>
    <w:semiHidden/>
    <w:rsid w:val="00C17EAF"/>
    <w:rPr>
      <w:rFonts w:ascii="Times New Roman" w:hAnsi="Times New Roman"/>
      <w:color w:val="808080"/>
    </w:rPr>
  </w:style>
  <w:style w:type="paragraph" w:styleId="Normlnywebov">
    <w:name w:val="Normal (Web)"/>
    <w:basedOn w:val="Normlny"/>
    <w:uiPriority w:val="99"/>
    <w:unhideWhenUsed/>
    <w:rsid w:val="00B4713F"/>
    <w:pPr>
      <w:spacing w:before="100" w:beforeAutospacing="1" w:after="100" w:afterAutospacing="1"/>
    </w:pPr>
  </w:style>
  <w:style w:type="paragraph" w:styleId="Zkladntext">
    <w:name w:val="Body Text"/>
    <w:basedOn w:val="Normlny"/>
    <w:link w:val="ZkladntextChar"/>
    <w:uiPriority w:val="99"/>
    <w:rsid w:val="00126499"/>
    <w:pPr>
      <w:widowControl w:val="0"/>
    </w:pPr>
    <w:rPr>
      <w:color w:val="000000"/>
    </w:rPr>
  </w:style>
  <w:style w:type="character" w:customStyle="1" w:styleId="ZkladntextChar">
    <w:name w:val="Základný text Char"/>
    <w:basedOn w:val="Predvolenpsmoodseku"/>
    <w:link w:val="Zkladntext"/>
    <w:uiPriority w:val="99"/>
    <w:rsid w:val="00126499"/>
    <w:rPr>
      <w:rFonts w:ascii="Times New Roman" w:eastAsia="Times New Roman" w:hAnsi="Times New Roman" w:cs="Times New Roman"/>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85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893</Words>
  <Characters>5091</Characters>
  <Application>Microsoft Office Word</Application>
  <DocSecurity>0</DocSecurity>
  <Lines>42</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Hajdu Ladislav</dc:creator>
  <cp:lastModifiedBy>Hajdu Ladislav</cp:lastModifiedBy>
  <cp:revision>8</cp:revision>
  <cp:lastPrinted>2016-08-11T07:02:00Z</cp:lastPrinted>
  <dcterms:created xsi:type="dcterms:W3CDTF">2016-06-22T06:33:00Z</dcterms:created>
  <dcterms:modified xsi:type="dcterms:W3CDTF">2016-08-11T07:02:00Z</dcterms:modified>
</cp:coreProperties>
</file>