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FB48ED" w:rsidRDefault="00EC66A7" w:rsidP="002055BD">
      <w:pPr>
        <w:pStyle w:val="Zkladntext"/>
        <w:widowControl/>
        <w:rPr>
          <w:b w:val="0"/>
          <w:bCs w:val="0"/>
          <w:color w:val="000000"/>
          <w:sz w:val="24"/>
          <w:szCs w:val="24"/>
        </w:rPr>
      </w:pPr>
      <w:r w:rsidRPr="00FB48ED">
        <w:rPr>
          <w:b w:val="0"/>
          <w:bCs w:val="0"/>
          <w:color w:val="000000"/>
          <w:sz w:val="24"/>
          <w:szCs w:val="24"/>
        </w:rPr>
        <w:t>V y h l á s e n i e   p r e d k l a d a t e ľ a</w:t>
      </w:r>
    </w:p>
    <w:p w:rsidR="00EC66A7" w:rsidRPr="00FB48ED" w:rsidRDefault="00EC66A7" w:rsidP="002055BD">
      <w:pPr>
        <w:pStyle w:val="Zkladntext"/>
        <w:widowControl/>
        <w:jc w:val="both"/>
        <w:rPr>
          <w:b w:val="0"/>
          <w:bCs w:val="0"/>
          <w:color w:val="000000"/>
          <w:sz w:val="24"/>
          <w:szCs w:val="24"/>
        </w:rPr>
      </w:pPr>
    </w:p>
    <w:p w:rsidR="00194B7B" w:rsidRPr="00FB48ED" w:rsidRDefault="003944C2" w:rsidP="002055BD">
      <w:pPr>
        <w:pStyle w:val="Zkladntext"/>
        <w:widowControl/>
        <w:jc w:val="both"/>
        <w:rPr>
          <w:b w:val="0"/>
          <w:bCs w:val="0"/>
          <w:color w:val="000000"/>
          <w:sz w:val="24"/>
          <w:szCs w:val="24"/>
        </w:rPr>
      </w:pPr>
      <w:r>
        <w:rPr>
          <w:b w:val="0"/>
          <w:bCs w:val="0"/>
          <w:color w:val="000000"/>
          <w:sz w:val="24"/>
          <w:szCs w:val="24"/>
        </w:rPr>
        <w:t>k</w:t>
      </w:r>
      <w:r w:rsidR="00EC66A7" w:rsidRPr="00FB48ED">
        <w:rPr>
          <w:b w:val="0"/>
          <w:bCs w:val="0"/>
          <w:color w:val="000000"/>
          <w:sz w:val="24"/>
          <w:szCs w:val="24"/>
        </w:rPr>
        <w:t xml:space="preserve"> </w:t>
      </w:r>
      <w:r w:rsidR="00284796" w:rsidRPr="00FB48ED">
        <w:rPr>
          <w:b w:val="0"/>
          <w:bCs w:val="0"/>
          <w:color w:val="000000"/>
          <w:sz w:val="24"/>
          <w:szCs w:val="24"/>
        </w:rPr>
        <w:t xml:space="preserve">návrhu zákona, ktorým sa mení a dopĺňa zákon č. 595/2003 Z. z. o dani z príjmov v znení neskorších predpisov a ktorým sa </w:t>
      </w:r>
      <w:r>
        <w:rPr>
          <w:b w:val="0"/>
          <w:bCs w:val="0"/>
          <w:color w:val="000000"/>
          <w:sz w:val="24"/>
          <w:szCs w:val="24"/>
        </w:rPr>
        <w:t>mení a dopĺňa zákon č. 580/2004 Z. z. o zdravotnom poistení a o zmene a doplnení zákona č. 95/2002 Z. z. o poisťovníctve a o zmene a doplnení niektorých zákonov v znení neskorších predpisov</w:t>
      </w:r>
      <w:r w:rsidR="00284796" w:rsidRPr="00FB48ED">
        <w:rPr>
          <w:b w:val="0"/>
          <w:bCs w:val="0"/>
          <w:color w:val="000000"/>
          <w:sz w:val="24"/>
          <w:szCs w:val="24"/>
        </w:rPr>
        <w:t xml:space="preserve"> </w:t>
      </w:r>
      <w:r w:rsidR="00EC66A7" w:rsidRPr="00FB48ED">
        <w:rPr>
          <w:b w:val="0"/>
          <w:bCs w:val="0"/>
          <w:color w:val="000000"/>
          <w:sz w:val="24"/>
          <w:szCs w:val="24"/>
        </w:rPr>
        <w:t xml:space="preserve">boli predložené viaceré </w:t>
      </w:r>
      <w:r w:rsidR="00EC66A7" w:rsidRPr="00FB48ED">
        <w:rPr>
          <w:bCs w:val="0"/>
          <w:color w:val="000000"/>
          <w:sz w:val="24"/>
          <w:szCs w:val="24"/>
        </w:rPr>
        <w:t>zásadné</w:t>
      </w:r>
      <w:r w:rsidR="00EC66A7" w:rsidRPr="00FB48ED">
        <w:rPr>
          <w:b w:val="0"/>
          <w:bCs w:val="0"/>
          <w:color w:val="000000"/>
          <w:sz w:val="24"/>
          <w:szCs w:val="24"/>
        </w:rPr>
        <w:t xml:space="preserve"> </w:t>
      </w:r>
      <w:r w:rsidR="00EC66A7" w:rsidRPr="00FB48ED">
        <w:rPr>
          <w:bCs w:val="0"/>
          <w:color w:val="000000"/>
          <w:sz w:val="24"/>
          <w:szCs w:val="24"/>
        </w:rPr>
        <w:t xml:space="preserve">pripomienky </w:t>
      </w:r>
      <w:r w:rsidR="00EC66A7" w:rsidRPr="00FB48ED">
        <w:rPr>
          <w:b w:val="0"/>
          <w:bCs w:val="0"/>
          <w:color w:val="000000"/>
          <w:sz w:val="24"/>
          <w:szCs w:val="24"/>
        </w:rPr>
        <w:t>v rámci medzirezortného pripomienkového konania. V rámci rozporového konania k zásadným pripomienkam sa nepodarilo odstrániť rozpory v nasledujúcich oblastiach:</w:t>
      </w:r>
    </w:p>
    <w:p w:rsidR="00492543" w:rsidRPr="00FB48ED" w:rsidRDefault="00492543" w:rsidP="002055BD">
      <w:pPr>
        <w:pStyle w:val="Zkladntext"/>
        <w:widowControl/>
        <w:jc w:val="both"/>
        <w:rPr>
          <w:b w:val="0"/>
          <w:bCs w:val="0"/>
          <w:color w:val="000000"/>
          <w:sz w:val="24"/>
          <w:szCs w:val="24"/>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1243"/>
        <w:gridCol w:w="6714"/>
        <w:gridCol w:w="893"/>
        <w:gridCol w:w="4439"/>
      </w:tblGrid>
      <w:tr w:rsidR="000279D2" w:rsidRPr="004B5CAD" w:rsidTr="00776F80">
        <w:tc>
          <w:tcPr>
            <w:tcW w:w="297" w:type="pct"/>
          </w:tcPr>
          <w:p w:rsidR="000279D2" w:rsidRPr="004B5CAD" w:rsidRDefault="000279D2"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 xml:space="preserve">Por. č. </w:t>
            </w:r>
          </w:p>
        </w:tc>
        <w:tc>
          <w:tcPr>
            <w:tcW w:w="440" w:type="pct"/>
            <w:vAlign w:val="center"/>
          </w:tcPr>
          <w:p w:rsidR="000279D2" w:rsidRPr="004B5CAD" w:rsidRDefault="000279D2"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Subjekt</w:t>
            </w:r>
          </w:p>
        </w:tc>
        <w:tc>
          <w:tcPr>
            <w:tcW w:w="2376" w:type="pct"/>
            <w:vAlign w:val="center"/>
          </w:tcPr>
          <w:p w:rsidR="000279D2" w:rsidRPr="004B5CAD" w:rsidRDefault="000279D2"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Pripomienka</w:t>
            </w:r>
          </w:p>
        </w:tc>
        <w:tc>
          <w:tcPr>
            <w:tcW w:w="316" w:type="pct"/>
            <w:vAlign w:val="center"/>
          </w:tcPr>
          <w:p w:rsidR="000279D2" w:rsidRPr="004B5CAD" w:rsidRDefault="000279D2"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Typ</w:t>
            </w:r>
          </w:p>
        </w:tc>
        <w:tc>
          <w:tcPr>
            <w:tcW w:w="1571" w:type="pct"/>
          </w:tcPr>
          <w:p w:rsidR="000279D2" w:rsidRPr="004B5CAD" w:rsidRDefault="008A53FC"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Stanovisko Ministerstva financií</w:t>
            </w:r>
            <w:r w:rsidR="000279D2" w:rsidRPr="004B5CAD">
              <w:rPr>
                <w:rFonts w:ascii="Times New Roman" w:hAnsi="Times New Roman"/>
                <w:b/>
                <w:sz w:val="24"/>
                <w:szCs w:val="24"/>
                <w:lang w:val="sk-SK"/>
              </w:rPr>
              <w:t xml:space="preserve"> SR</w:t>
            </w:r>
          </w:p>
        </w:tc>
      </w:tr>
      <w:tr w:rsidR="005F0096" w:rsidRPr="004B5CAD" w:rsidTr="00776F80">
        <w:tc>
          <w:tcPr>
            <w:tcW w:w="297" w:type="pct"/>
            <w:shd w:val="clear" w:color="auto" w:fill="BFBFBF"/>
          </w:tcPr>
          <w:p w:rsidR="005F0096" w:rsidRPr="004B5CAD" w:rsidRDefault="005F0096" w:rsidP="002055BD">
            <w:pPr>
              <w:widowControl/>
              <w:spacing w:after="0" w:line="240" w:lineRule="auto"/>
              <w:jc w:val="both"/>
              <w:rPr>
                <w:rFonts w:ascii="Times New Roman" w:hAnsi="Times New Roman"/>
                <w:b/>
                <w:sz w:val="24"/>
                <w:szCs w:val="24"/>
                <w:lang w:val="sk-SK"/>
              </w:rPr>
            </w:pPr>
          </w:p>
        </w:tc>
        <w:tc>
          <w:tcPr>
            <w:tcW w:w="440" w:type="pct"/>
            <w:shd w:val="clear" w:color="auto" w:fill="BFBFBF"/>
            <w:vAlign w:val="center"/>
          </w:tcPr>
          <w:p w:rsidR="005F0096" w:rsidRPr="004B5CAD" w:rsidRDefault="005F0096" w:rsidP="002055BD">
            <w:pPr>
              <w:widowControl/>
              <w:spacing w:after="0" w:line="240" w:lineRule="auto"/>
              <w:jc w:val="both"/>
              <w:rPr>
                <w:rFonts w:ascii="Times New Roman" w:hAnsi="Times New Roman"/>
                <w:b/>
                <w:sz w:val="24"/>
                <w:szCs w:val="24"/>
                <w:lang w:val="sk-SK"/>
              </w:rPr>
            </w:pPr>
          </w:p>
        </w:tc>
        <w:tc>
          <w:tcPr>
            <w:tcW w:w="2376" w:type="pct"/>
            <w:shd w:val="clear" w:color="auto" w:fill="BFBFBF"/>
            <w:vAlign w:val="center"/>
          </w:tcPr>
          <w:p w:rsidR="005F0096" w:rsidRPr="004B5CAD" w:rsidRDefault="005F0096"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Zásadné pripomienky k čl. I.</w:t>
            </w:r>
          </w:p>
        </w:tc>
        <w:tc>
          <w:tcPr>
            <w:tcW w:w="316" w:type="pct"/>
            <w:shd w:val="clear" w:color="auto" w:fill="BFBFBF"/>
            <w:vAlign w:val="center"/>
          </w:tcPr>
          <w:p w:rsidR="005F0096" w:rsidRPr="004B5CAD" w:rsidRDefault="005F0096" w:rsidP="002055BD">
            <w:pPr>
              <w:widowControl/>
              <w:spacing w:after="0" w:line="240" w:lineRule="auto"/>
              <w:jc w:val="both"/>
              <w:rPr>
                <w:rFonts w:ascii="Times New Roman" w:hAnsi="Times New Roman"/>
                <w:b/>
                <w:sz w:val="24"/>
                <w:szCs w:val="24"/>
                <w:lang w:val="sk-SK"/>
              </w:rPr>
            </w:pPr>
          </w:p>
        </w:tc>
        <w:tc>
          <w:tcPr>
            <w:tcW w:w="1571" w:type="pct"/>
            <w:shd w:val="clear" w:color="auto" w:fill="BFBFBF"/>
          </w:tcPr>
          <w:p w:rsidR="005F0096" w:rsidRPr="004B5CAD" w:rsidRDefault="005F0096" w:rsidP="002055BD">
            <w:pPr>
              <w:widowControl/>
              <w:spacing w:after="0" w:line="240" w:lineRule="auto"/>
              <w:jc w:val="both"/>
              <w:rPr>
                <w:rFonts w:ascii="Times New Roman" w:hAnsi="Times New Roman"/>
                <w:b/>
                <w:sz w:val="24"/>
                <w:szCs w:val="24"/>
                <w:lang w:val="sk-SK"/>
              </w:rPr>
            </w:pPr>
          </w:p>
        </w:tc>
      </w:tr>
      <w:tr w:rsidR="003944C2" w:rsidRPr="004B5CAD" w:rsidTr="004B5CAD">
        <w:tc>
          <w:tcPr>
            <w:tcW w:w="297" w:type="pct"/>
          </w:tcPr>
          <w:p w:rsidR="003944C2" w:rsidRPr="004B5CAD" w:rsidRDefault="002F59D5"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w:t>
            </w:r>
          </w:p>
        </w:tc>
        <w:tc>
          <w:tcPr>
            <w:tcW w:w="440" w:type="pct"/>
          </w:tcPr>
          <w:p w:rsidR="003944C2" w:rsidRPr="004B5CAD" w:rsidRDefault="003944C2"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MK SR</w:t>
            </w:r>
          </w:p>
          <w:p w:rsidR="003944C2" w:rsidRPr="004B5CAD" w:rsidRDefault="003944C2"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tc>
        <w:tc>
          <w:tcPr>
            <w:tcW w:w="2376" w:type="pct"/>
          </w:tcPr>
          <w:p w:rsidR="008B6E00" w:rsidRPr="004B5CAD" w:rsidRDefault="008B6E00" w:rsidP="003944C2">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Úprava limitácie paušálnych výdavkov</w:t>
            </w:r>
          </w:p>
          <w:p w:rsidR="003944C2" w:rsidRPr="004B5CAD" w:rsidRDefault="003944C2" w:rsidP="003944C2">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MK SR navrhuje nad rámec novely zákona daňové zvýhodnenie profesionálnych umelcov. Podstatou návrhu je aby sa na umelcov, ktorí spĺňajú podmienky pre zápis do evidencie profesionálnych umelcov podľa zákona o fonde umenia a sú k prvému dňu príslušného zdaňovacie obdobia zapísaní v evidencii profesionálnych umelcov</w:t>
            </w:r>
            <w:r w:rsidR="006F3F7E" w:rsidRPr="004B5CAD">
              <w:rPr>
                <w:rFonts w:ascii="Times New Roman" w:hAnsi="Times New Roman"/>
                <w:sz w:val="24"/>
                <w:szCs w:val="24"/>
                <w:lang w:val="sk-SK"/>
              </w:rPr>
              <w:t>, nevzťahoval limit výdavkov v sume 5040 eur ročne.</w:t>
            </w:r>
          </w:p>
          <w:p w:rsidR="006F3F7E" w:rsidRPr="004B5CAD" w:rsidRDefault="006F3F7E" w:rsidP="003944C2">
            <w:pPr>
              <w:widowControl/>
              <w:spacing w:after="0" w:line="240" w:lineRule="auto"/>
              <w:jc w:val="both"/>
              <w:rPr>
                <w:rFonts w:ascii="Times New Roman" w:hAnsi="Times New Roman"/>
                <w:sz w:val="24"/>
                <w:szCs w:val="24"/>
                <w:lang w:val="sk-SK"/>
              </w:rPr>
            </w:pPr>
          </w:p>
          <w:p w:rsidR="006F3F7E" w:rsidRPr="004B5CAD" w:rsidRDefault="006F3F7E" w:rsidP="003944C2">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SBA navrhuje upraviť limitáciu paušálnych výdavkov už v tejto novele zákona. </w:t>
            </w:r>
          </w:p>
        </w:tc>
        <w:tc>
          <w:tcPr>
            <w:tcW w:w="316" w:type="pct"/>
          </w:tcPr>
          <w:p w:rsidR="003944C2" w:rsidRPr="004B5CAD" w:rsidRDefault="006F3F7E" w:rsidP="006F3F7E">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6F3F7E" w:rsidRPr="004B5CAD" w:rsidRDefault="006F3F7E" w:rsidP="00FA37AD">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Navrhované úpravy v oblasti paušálnych výdavkov sú nad rámec novely zákona. Ministerstvo financií SR sa úpravami paušálnych výdavkov bude v súlade s Programovým vyhlásením vlády SR zaoberať v nasledujúcich obdobiach. </w:t>
            </w:r>
          </w:p>
          <w:p w:rsidR="001E2E47" w:rsidRPr="004B5CAD" w:rsidRDefault="001E2E47" w:rsidP="00FA37A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Rozpor trvá.</w:t>
            </w:r>
          </w:p>
          <w:p w:rsidR="003944C2" w:rsidRPr="004B5CAD" w:rsidRDefault="003944C2" w:rsidP="00FA37AD">
            <w:pPr>
              <w:widowControl/>
              <w:spacing w:after="0" w:line="240" w:lineRule="auto"/>
              <w:jc w:val="both"/>
              <w:rPr>
                <w:rFonts w:ascii="Times New Roman" w:hAnsi="Times New Roman"/>
                <w:sz w:val="24"/>
                <w:szCs w:val="24"/>
                <w:lang w:val="sk-SK"/>
              </w:rPr>
            </w:pPr>
          </w:p>
        </w:tc>
      </w:tr>
      <w:tr w:rsidR="00992683" w:rsidRPr="004B5CAD" w:rsidTr="004B5CAD">
        <w:tc>
          <w:tcPr>
            <w:tcW w:w="297" w:type="pct"/>
          </w:tcPr>
          <w:p w:rsidR="00992683" w:rsidRPr="004B5CAD" w:rsidRDefault="002F59D5"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2.</w:t>
            </w:r>
          </w:p>
        </w:tc>
        <w:tc>
          <w:tcPr>
            <w:tcW w:w="440" w:type="pct"/>
          </w:tcPr>
          <w:p w:rsidR="00992683" w:rsidRPr="004B5CAD" w:rsidRDefault="00992683"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 SR</w:t>
            </w:r>
          </w:p>
          <w:p w:rsidR="00992683" w:rsidRPr="004B5CAD" w:rsidRDefault="00992683"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AZZZ SR</w:t>
            </w:r>
          </w:p>
          <w:p w:rsidR="006024E6" w:rsidRPr="004B5CAD" w:rsidRDefault="006024E6"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p w:rsidR="00992683" w:rsidRPr="004B5CAD" w:rsidRDefault="00992683" w:rsidP="002055BD">
            <w:pPr>
              <w:widowControl/>
              <w:spacing w:after="0" w:line="240" w:lineRule="auto"/>
              <w:jc w:val="both"/>
              <w:rPr>
                <w:rFonts w:ascii="Times New Roman" w:hAnsi="Times New Roman"/>
                <w:b/>
                <w:sz w:val="24"/>
                <w:szCs w:val="24"/>
              </w:rPr>
            </w:pPr>
          </w:p>
        </w:tc>
        <w:tc>
          <w:tcPr>
            <w:tcW w:w="2376" w:type="pct"/>
          </w:tcPr>
          <w:p w:rsidR="008B6E00" w:rsidRPr="004B5CAD" w:rsidRDefault="008B6E00" w:rsidP="008B6E00">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Zavedenie zdaňovania dividend</w:t>
            </w:r>
          </w:p>
          <w:p w:rsidR="008B6E00" w:rsidRPr="004B5CAD" w:rsidRDefault="00992683" w:rsidP="008B6E00">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RUZ </w:t>
            </w:r>
            <w:r w:rsidR="002F59D5" w:rsidRPr="004B5CAD">
              <w:rPr>
                <w:rFonts w:ascii="Times New Roman" w:hAnsi="Times New Roman"/>
                <w:sz w:val="24"/>
                <w:szCs w:val="24"/>
                <w:lang w:val="sk-SK"/>
              </w:rPr>
              <w:t xml:space="preserve">a SBA </w:t>
            </w:r>
            <w:r w:rsidR="001E2E47" w:rsidRPr="004B5CAD">
              <w:rPr>
                <w:rFonts w:ascii="Times New Roman" w:hAnsi="Times New Roman"/>
                <w:sz w:val="24"/>
                <w:szCs w:val="24"/>
                <w:lang w:val="sk-SK"/>
              </w:rPr>
              <w:t>zásadne nesúhlasí so zavedením  dane z</w:t>
            </w:r>
            <w:r w:rsidR="002F59D5" w:rsidRPr="004B5CAD">
              <w:rPr>
                <w:rFonts w:ascii="Times New Roman" w:hAnsi="Times New Roman"/>
                <w:sz w:val="24"/>
                <w:szCs w:val="24"/>
                <w:lang w:val="sk-SK"/>
              </w:rPr>
              <w:t> </w:t>
            </w:r>
            <w:r w:rsidR="001E2E47" w:rsidRPr="004B5CAD">
              <w:rPr>
                <w:rFonts w:ascii="Times New Roman" w:hAnsi="Times New Roman"/>
                <w:sz w:val="24"/>
                <w:szCs w:val="24"/>
                <w:lang w:val="sk-SK"/>
              </w:rPr>
              <w:t>dividend, nakoľko zavedenie zdaňovania zníži kvalitu a</w:t>
            </w:r>
            <w:r w:rsidR="002F59D5" w:rsidRPr="004B5CAD">
              <w:rPr>
                <w:rFonts w:ascii="Times New Roman" w:hAnsi="Times New Roman"/>
                <w:sz w:val="24"/>
                <w:szCs w:val="24"/>
                <w:lang w:val="sk-SK"/>
              </w:rPr>
              <w:t> </w:t>
            </w:r>
            <w:r w:rsidR="001E2E47" w:rsidRPr="004B5CAD">
              <w:rPr>
                <w:rFonts w:ascii="Times New Roman" w:hAnsi="Times New Roman"/>
                <w:sz w:val="24"/>
                <w:szCs w:val="24"/>
                <w:lang w:val="sk-SK"/>
              </w:rPr>
              <w:t>atraktivitu slovenského podnikateľského prostredia a</w:t>
            </w:r>
            <w:r w:rsidR="002F59D5" w:rsidRPr="004B5CAD">
              <w:rPr>
                <w:rFonts w:ascii="Times New Roman" w:hAnsi="Times New Roman"/>
                <w:sz w:val="24"/>
                <w:szCs w:val="24"/>
                <w:lang w:val="sk-SK"/>
              </w:rPr>
              <w:t> </w:t>
            </w:r>
            <w:r w:rsidR="001E2E47" w:rsidRPr="004B5CAD">
              <w:rPr>
                <w:rFonts w:ascii="Times New Roman" w:hAnsi="Times New Roman"/>
                <w:sz w:val="24"/>
                <w:szCs w:val="24"/>
                <w:lang w:val="sk-SK"/>
              </w:rPr>
              <w:t>nebude mať výrazný dopad na príjmovú stránku štátneho rozpočtu.</w:t>
            </w:r>
            <w:r w:rsidR="008B6E00" w:rsidRPr="004B5CAD">
              <w:rPr>
                <w:rFonts w:ascii="Times New Roman" w:hAnsi="Times New Roman"/>
                <w:sz w:val="24"/>
                <w:szCs w:val="24"/>
                <w:lang w:val="sk-SK"/>
              </w:rPr>
              <w:t xml:space="preserve"> Samotné zvýšenie sadzby o</w:t>
            </w:r>
            <w:r w:rsidR="002F59D5" w:rsidRPr="004B5CAD">
              <w:rPr>
                <w:rFonts w:ascii="Times New Roman" w:hAnsi="Times New Roman"/>
                <w:sz w:val="24"/>
                <w:szCs w:val="24"/>
                <w:lang w:val="sk-SK"/>
              </w:rPr>
              <w:t> </w:t>
            </w:r>
            <w:r w:rsidR="008B6E00" w:rsidRPr="004B5CAD">
              <w:rPr>
                <w:rFonts w:ascii="Times New Roman" w:hAnsi="Times New Roman"/>
                <w:sz w:val="24"/>
                <w:szCs w:val="24"/>
                <w:lang w:val="sk-SK"/>
              </w:rPr>
              <w:t>1 % (z pôvodných 14 % zdravotného poistenia na 15 % daň na dividendy) síce nespôsobí výrazné zníženie príjmu u</w:t>
            </w:r>
            <w:r w:rsidR="002F59D5" w:rsidRPr="004B5CAD">
              <w:rPr>
                <w:rFonts w:ascii="Times New Roman" w:hAnsi="Times New Roman"/>
                <w:sz w:val="24"/>
                <w:szCs w:val="24"/>
                <w:lang w:val="sk-SK"/>
              </w:rPr>
              <w:t> </w:t>
            </w:r>
            <w:r w:rsidR="008B6E00" w:rsidRPr="004B5CAD">
              <w:rPr>
                <w:rFonts w:ascii="Times New Roman" w:hAnsi="Times New Roman"/>
                <w:sz w:val="24"/>
                <w:szCs w:val="24"/>
                <w:lang w:val="sk-SK"/>
              </w:rPr>
              <w:t>príjemcov dividend, avšak nezavedením maximálneho vymeriavacieho základu tak dôjde k</w:t>
            </w:r>
            <w:r w:rsidR="002F59D5" w:rsidRPr="004B5CAD">
              <w:rPr>
                <w:rFonts w:ascii="Times New Roman" w:hAnsi="Times New Roman"/>
                <w:sz w:val="24"/>
                <w:szCs w:val="24"/>
                <w:lang w:val="sk-SK"/>
              </w:rPr>
              <w:t> </w:t>
            </w:r>
            <w:r w:rsidR="008B6E00" w:rsidRPr="004B5CAD">
              <w:rPr>
                <w:rFonts w:ascii="Times New Roman" w:hAnsi="Times New Roman"/>
                <w:sz w:val="24"/>
                <w:szCs w:val="24"/>
                <w:lang w:val="sk-SK"/>
              </w:rPr>
              <w:t>výraznému dodatočnému zdaneniu zdrojov, ktoré už daňou z</w:t>
            </w:r>
            <w:r w:rsidR="002F59D5" w:rsidRPr="004B5CAD">
              <w:rPr>
                <w:rFonts w:ascii="Times New Roman" w:hAnsi="Times New Roman"/>
                <w:sz w:val="24"/>
                <w:szCs w:val="24"/>
                <w:lang w:val="sk-SK"/>
              </w:rPr>
              <w:t> </w:t>
            </w:r>
            <w:r w:rsidR="008B6E00" w:rsidRPr="004B5CAD">
              <w:rPr>
                <w:rFonts w:ascii="Times New Roman" w:hAnsi="Times New Roman"/>
                <w:sz w:val="24"/>
                <w:szCs w:val="24"/>
                <w:lang w:val="sk-SK"/>
              </w:rPr>
              <w:t xml:space="preserve">príjmu raz zdanené boli. Navrhujú zavedenie sumy určitého daňového stropu, po dosiahnutí </w:t>
            </w:r>
            <w:r w:rsidR="008B6E00" w:rsidRPr="004B5CAD">
              <w:rPr>
                <w:rFonts w:ascii="Times New Roman" w:hAnsi="Times New Roman"/>
                <w:sz w:val="24"/>
                <w:szCs w:val="24"/>
                <w:lang w:val="sk-SK"/>
              </w:rPr>
              <w:lastRenderedPageBreak/>
              <w:t>ktorého sa už daň nebude ďalej zrážať (napr. vo výške súčasného maximálneho vymeriavacieho základu pre účely zdravotného poistenia) alebo znížiť navrhovanú sadzbu dane na 10 %, pričom táto alternatíva sa dá kombinovať as so zavedením daňového stropu pre tento druh príjmu.</w:t>
            </w:r>
          </w:p>
          <w:p w:rsidR="008B6E00" w:rsidRPr="004B5CAD" w:rsidRDefault="008B6E00" w:rsidP="008B6E00">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Zavedenie zdaňovania dividend zásadne naruší fungujúci princíp jednorazového zdanenia investícií a</w:t>
            </w:r>
            <w:r w:rsidR="002F59D5" w:rsidRPr="004B5CAD">
              <w:rPr>
                <w:rFonts w:ascii="Times New Roman" w:hAnsi="Times New Roman"/>
                <w:sz w:val="24"/>
                <w:szCs w:val="24"/>
                <w:lang w:val="sk-SK"/>
              </w:rPr>
              <w:t> </w:t>
            </w:r>
            <w:r w:rsidRPr="004B5CAD">
              <w:rPr>
                <w:rFonts w:ascii="Times New Roman" w:hAnsi="Times New Roman"/>
                <w:sz w:val="24"/>
                <w:szCs w:val="24"/>
                <w:lang w:val="sk-SK"/>
              </w:rPr>
              <w:t>kapitálových príjmov, a</w:t>
            </w:r>
            <w:r w:rsidR="002F59D5" w:rsidRPr="004B5CAD">
              <w:rPr>
                <w:rFonts w:ascii="Times New Roman" w:hAnsi="Times New Roman"/>
                <w:sz w:val="24"/>
                <w:szCs w:val="24"/>
                <w:lang w:val="sk-SK"/>
              </w:rPr>
              <w:t> </w:t>
            </w:r>
            <w:r w:rsidRPr="004B5CAD">
              <w:rPr>
                <w:rFonts w:ascii="Times New Roman" w:hAnsi="Times New Roman"/>
                <w:sz w:val="24"/>
                <w:szCs w:val="24"/>
                <w:lang w:val="sk-SK"/>
              </w:rPr>
              <w:t>to na úrovn</w:t>
            </w:r>
            <w:r w:rsidR="006024E6" w:rsidRPr="004B5CAD">
              <w:rPr>
                <w:rFonts w:ascii="Times New Roman" w:hAnsi="Times New Roman"/>
                <w:sz w:val="24"/>
                <w:szCs w:val="24"/>
                <w:lang w:val="sk-SK"/>
              </w:rPr>
              <w:t>i</w:t>
            </w:r>
            <w:r w:rsidRPr="004B5CAD">
              <w:rPr>
                <w:rFonts w:ascii="Times New Roman" w:hAnsi="Times New Roman"/>
                <w:sz w:val="24"/>
                <w:szCs w:val="24"/>
                <w:lang w:val="sk-SK"/>
              </w:rPr>
              <w:t xml:space="preserve"> ziskov právnických osôb a</w:t>
            </w:r>
            <w:r w:rsidR="002F59D5" w:rsidRPr="004B5CAD">
              <w:rPr>
                <w:rFonts w:ascii="Times New Roman" w:hAnsi="Times New Roman"/>
                <w:sz w:val="24"/>
                <w:szCs w:val="24"/>
                <w:lang w:val="sk-SK"/>
              </w:rPr>
              <w:t> </w:t>
            </w:r>
            <w:r w:rsidRPr="004B5CAD">
              <w:rPr>
                <w:rFonts w:ascii="Times New Roman" w:hAnsi="Times New Roman"/>
                <w:sz w:val="24"/>
                <w:szCs w:val="24"/>
                <w:lang w:val="sk-SK"/>
              </w:rPr>
              <w:t>nie opakovanie aj v</w:t>
            </w:r>
            <w:r w:rsidR="002F59D5" w:rsidRPr="004B5CAD">
              <w:rPr>
                <w:rFonts w:ascii="Times New Roman" w:hAnsi="Times New Roman"/>
                <w:sz w:val="24"/>
                <w:szCs w:val="24"/>
                <w:lang w:val="sk-SK"/>
              </w:rPr>
              <w:t> </w:t>
            </w:r>
            <w:r w:rsidRPr="004B5CAD">
              <w:rPr>
                <w:rFonts w:ascii="Times New Roman" w:hAnsi="Times New Roman"/>
                <w:sz w:val="24"/>
                <w:szCs w:val="24"/>
                <w:lang w:val="sk-SK"/>
              </w:rPr>
              <w:t>momente, keď sú prevádzané z</w:t>
            </w:r>
            <w:r w:rsidR="002F59D5" w:rsidRPr="004B5CAD">
              <w:rPr>
                <w:rFonts w:ascii="Times New Roman" w:hAnsi="Times New Roman"/>
                <w:sz w:val="24"/>
                <w:szCs w:val="24"/>
                <w:lang w:val="sk-SK"/>
              </w:rPr>
              <w:t> </w:t>
            </w:r>
            <w:r w:rsidRPr="004B5CAD">
              <w:rPr>
                <w:rFonts w:ascii="Times New Roman" w:hAnsi="Times New Roman"/>
                <w:sz w:val="24"/>
                <w:szCs w:val="24"/>
                <w:lang w:val="sk-SK"/>
              </w:rPr>
              <w:t>úrovne právnických osôb na fyzické osoby.</w:t>
            </w:r>
          </w:p>
          <w:p w:rsidR="00992683" w:rsidRPr="004B5CAD" w:rsidRDefault="00992683" w:rsidP="002055BD">
            <w:pPr>
              <w:widowControl/>
              <w:spacing w:after="0" w:line="240" w:lineRule="auto"/>
              <w:jc w:val="both"/>
              <w:rPr>
                <w:rFonts w:ascii="Times New Roman" w:hAnsi="Times New Roman"/>
                <w:sz w:val="24"/>
                <w:szCs w:val="24"/>
                <w:lang w:val="sk-SK"/>
              </w:rPr>
            </w:pPr>
          </w:p>
          <w:p w:rsidR="008B6E00" w:rsidRPr="004B5CAD" w:rsidRDefault="008B6E00" w:rsidP="006024E6">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AZZZ SR zásadne nesúhlasí s</w:t>
            </w:r>
            <w:r w:rsidR="002F59D5" w:rsidRPr="004B5CAD">
              <w:rPr>
                <w:rFonts w:ascii="Times New Roman" w:hAnsi="Times New Roman"/>
                <w:sz w:val="24"/>
                <w:szCs w:val="24"/>
                <w:lang w:val="sk-SK"/>
              </w:rPr>
              <w:t> </w:t>
            </w:r>
            <w:r w:rsidRPr="004B5CAD">
              <w:rPr>
                <w:rFonts w:ascii="Times New Roman" w:hAnsi="Times New Roman"/>
                <w:sz w:val="24"/>
                <w:szCs w:val="24"/>
                <w:lang w:val="sk-SK"/>
              </w:rPr>
              <w:t>návrhom na zdanenie dividend plynúcich fyzickým osobám z</w:t>
            </w:r>
            <w:r w:rsidR="002F59D5" w:rsidRPr="004B5CAD">
              <w:rPr>
                <w:rFonts w:ascii="Times New Roman" w:hAnsi="Times New Roman"/>
                <w:sz w:val="24"/>
                <w:szCs w:val="24"/>
                <w:lang w:val="sk-SK"/>
              </w:rPr>
              <w:t> </w:t>
            </w:r>
            <w:r w:rsidRPr="004B5CAD">
              <w:rPr>
                <w:rFonts w:ascii="Times New Roman" w:hAnsi="Times New Roman"/>
                <w:sz w:val="24"/>
                <w:szCs w:val="24"/>
                <w:lang w:val="sk-SK"/>
              </w:rPr>
              <w:t>verejne obchodovateľných cenných papierov. Uvedený návrh je v</w:t>
            </w:r>
            <w:r w:rsidR="002F59D5" w:rsidRPr="004B5CAD">
              <w:rPr>
                <w:rFonts w:ascii="Times New Roman" w:hAnsi="Times New Roman"/>
                <w:sz w:val="24"/>
                <w:szCs w:val="24"/>
                <w:lang w:val="sk-SK"/>
              </w:rPr>
              <w:t> </w:t>
            </w:r>
            <w:r w:rsidRPr="004B5CAD">
              <w:rPr>
                <w:rFonts w:ascii="Times New Roman" w:hAnsi="Times New Roman"/>
                <w:sz w:val="24"/>
                <w:szCs w:val="24"/>
                <w:lang w:val="sk-SK"/>
              </w:rPr>
              <w:t>rozpore s</w:t>
            </w:r>
            <w:r w:rsidR="002F59D5" w:rsidRPr="004B5CAD">
              <w:rPr>
                <w:rFonts w:ascii="Times New Roman" w:hAnsi="Times New Roman"/>
                <w:sz w:val="24"/>
                <w:szCs w:val="24"/>
                <w:lang w:val="sk-SK"/>
              </w:rPr>
              <w:t> </w:t>
            </w:r>
            <w:r w:rsidRPr="004B5CAD">
              <w:rPr>
                <w:rFonts w:ascii="Times New Roman" w:hAnsi="Times New Roman"/>
                <w:sz w:val="24"/>
                <w:szCs w:val="24"/>
                <w:lang w:val="sk-SK"/>
              </w:rPr>
              <w:t>prijatou a</w:t>
            </w:r>
            <w:r w:rsidR="002F59D5" w:rsidRPr="004B5CAD">
              <w:rPr>
                <w:rFonts w:ascii="Times New Roman" w:hAnsi="Times New Roman"/>
                <w:sz w:val="24"/>
                <w:szCs w:val="24"/>
                <w:lang w:val="sk-SK"/>
              </w:rPr>
              <w:t> </w:t>
            </w:r>
            <w:r w:rsidRPr="004B5CAD">
              <w:rPr>
                <w:rFonts w:ascii="Times New Roman" w:hAnsi="Times New Roman"/>
                <w:sz w:val="24"/>
                <w:szCs w:val="24"/>
                <w:lang w:val="sk-SK"/>
              </w:rPr>
              <w:t>vládou schválenou koncepciou rozvoja domáceho kapitálového trhu</w:t>
            </w:r>
            <w:r w:rsidR="006024E6" w:rsidRPr="004B5CAD">
              <w:rPr>
                <w:rFonts w:ascii="Times New Roman" w:hAnsi="Times New Roman"/>
                <w:sz w:val="24"/>
                <w:szCs w:val="24"/>
                <w:lang w:val="sk-SK"/>
              </w:rPr>
              <w:t xml:space="preserve">. </w:t>
            </w:r>
          </w:p>
          <w:p w:rsidR="006024E6" w:rsidRPr="004B5CAD" w:rsidRDefault="006024E6" w:rsidP="006024E6">
            <w:pPr>
              <w:widowControl/>
              <w:spacing w:after="0" w:line="240" w:lineRule="auto"/>
              <w:jc w:val="both"/>
              <w:rPr>
                <w:rFonts w:ascii="Times New Roman" w:hAnsi="Times New Roman"/>
                <w:sz w:val="24"/>
                <w:szCs w:val="24"/>
                <w:lang w:val="sk-SK"/>
              </w:rPr>
            </w:pPr>
          </w:p>
          <w:p w:rsidR="006024E6" w:rsidRPr="004B5CAD" w:rsidRDefault="006024E6" w:rsidP="006024E6">
            <w:pPr>
              <w:widowControl/>
              <w:spacing w:after="0" w:line="240" w:lineRule="auto"/>
              <w:jc w:val="both"/>
              <w:rPr>
                <w:rFonts w:ascii="Times New Roman" w:hAnsi="Times New Roman"/>
                <w:sz w:val="24"/>
                <w:szCs w:val="24"/>
                <w:lang w:val="sk-SK"/>
              </w:rPr>
            </w:pPr>
          </w:p>
        </w:tc>
        <w:tc>
          <w:tcPr>
            <w:tcW w:w="316" w:type="pct"/>
          </w:tcPr>
          <w:p w:rsidR="00992683" w:rsidRPr="004B5CAD" w:rsidRDefault="001E2E47" w:rsidP="001E2E47">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lastRenderedPageBreak/>
              <w:t>Z</w:t>
            </w:r>
          </w:p>
        </w:tc>
        <w:tc>
          <w:tcPr>
            <w:tcW w:w="1571" w:type="pct"/>
          </w:tcPr>
          <w:p w:rsidR="00992683" w:rsidRPr="004B5CAD" w:rsidRDefault="008B6E00" w:rsidP="00FA37AD">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Aj napriek výhradám o</w:t>
            </w:r>
            <w:r w:rsidR="002F59D5" w:rsidRPr="004B5CAD">
              <w:rPr>
                <w:rFonts w:ascii="Times New Roman" w:hAnsi="Times New Roman"/>
                <w:sz w:val="24"/>
                <w:szCs w:val="24"/>
                <w:lang w:val="sk-SK"/>
              </w:rPr>
              <w:t> </w:t>
            </w:r>
            <w:r w:rsidRPr="004B5CAD">
              <w:rPr>
                <w:rFonts w:ascii="Times New Roman" w:hAnsi="Times New Roman"/>
                <w:sz w:val="24"/>
                <w:szCs w:val="24"/>
                <w:lang w:val="sk-SK"/>
              </w:rPr>
              <w:t>zavedení dvojitého zdanenia, je zdaňovanie dividend uplatňované vo väčšine členských štátov EÚ. Ministerstvo financií SR  zastáva názor, že Neprichádza k</w:t>
            </w:r>
            <w:r w:rsidR="002F59D5" w:rsidRPr="004B5CAD">
              <w:rPr>
                <w:rFonts w:ascii="Times New Roman" w:hAnsi="Times New Roman"/>
                <w:sz w:val="24"/>
                <w:szCs w:val="24"/>
                <w:lang w:val="sk-SK"/>
              </w:rPr>
              <w:t> </w:t>
            </w:r>
            <w:r w:rsidRPr="004B5CAD">
              <w:rPr>
                <w:rFonts w:ascii="Times New Roman" w:hAnsi="Times New Roman"/>
                <w:sz w:val="24"/>
                <w:szCs w:val="24"/>
                <w:lang w:val="sk-SK"/>
              </w:rPr>
              <w:t>dvojitému zdaneniu toho istého príjmu u</w:t>
            </w:r>
            <w:r w:rsidR="002F59D5" w:rsidRPr="004B5CAD">
              <w:rPr>
                <w:rFonts w:ascii="Times New Roman" w:hAnsi="Times New Roman"/>
                <w:sz w:val="24"/>
                <w:szCs w:val="24"/>
                <w:lang w:val="sk-SK"/>
              </w:rPr>
              <w:t> </w:t>
            </w:r>
            <w:r w:rsidRPr="004B5CAD">
              <w:rPr>
                <w:rFonts w:ascii="Times New Roman" w:hAnsi="Times New Roman"/>
                <w:sz w:val="24"/>
                <w:szCs w:val="24"/>
                <w:lang w:val="sk-SK"/>
              </w:rPr>
              <w:t>toho istého daňovníka a</w:t>
            </w:r>
            <w:r w:rsidR="002F59D5" w:rsidRPr="004B5CAD">
              <w:rPr>
                <w:rFonts w:ascii="Times New Roman" w:hAnsi="Times New Roman"/>
                <w:sz w:val="24"/>
                <w:szCs w:val="24"/>
                <w:lang w:val="sk-SK"/>
              </w:rPr>
              <w:t> </w:t>
            </w:r>
            <w:r w:rsidRPr="004B5CAD">
              <w:rPr>
                <w:rFonts w:ascii="Times New Roman" w:hAnsi="Times New Roman"/>
                <w:sz w:val="24"/>
                <w:szCs w:val="24"/>
                <w:lang w:val="sk-SK"/>
              </w:rPr>
              <w:t>preto výhrada o</w:t>
            </w:r>
            <w:r w:rsidR="002F59D5" w:rsidRPr="004B5CAD">
              <w:rPr>
                <w:rFonts w:ascii="Times New Roman" w:hAnsi="Times New Roman"/>
                <w:sz w:val="24"/>
                <w:szCs w:val="24"/>
                <w:lang w:val="sk-SK"/>
              </w:rPr>
              <w:t> </w:t>
            </w:r>
            <w:r w:rsidRPr="004B5CAD">
              <w:rPr>
                <w:rFonts w:ascii="Times New Roman" w:hAnsi="Times New Roman"/>
                <w:sz w:val="24"/>
                <w:szCs w:val="24"/>
                <w:lang w:val="sk-SK"/>
              </w:rPr>
              <w:t>dvojitom zdanení nie je odôvodnená. Navrhovaná sadzba dane 15 % je porovnateľná so sadzbou dane uplatňovanou na dividendy v</w:t>
            </w:r>
            <w:r w:rsidR="002F59D5" w:rsidRPr="004B5CAD">
              <w:rPr>
                <w:rFonts w:ascii="Times New Roman" w:hAnsi="Times New Roman"/>
                <w:sz w:val="24"/>
                <w:szCs w:val="24"/>
                <w:lang w:val="sk-SK"/>
              </w:rPr>
              <w:t> </w:t>
            </w:r>
            <w:r w:rsidRPr="004B5CAD">
              <w:rPr>
                <w:rFonts w:ascii="Times New Roman" w:hAnsi="Times New Roman"/>
                <w:sz w:val="24"/>
                <w:szCs w:val="24"/>
                <w:lang w:val="sk-SK"/>
              </w:rPr>
              <w:t>ostatných členských štátoch EÚ, a</w:t>
            </w:r>
            <w:r w:rsidR="002F59D5" w:rsidRPr="004B5CAD">
              <w:rPr>
                <w:rFonts w:ascii="Times New Roman" w:hAnsi="Times New Roman"/>
                <w:sz w:val="24"/>
                <w:szCs w:val="24"/>
                <w:lang w:val="sk-SK"/>
              </w:rPr>
              <w:t> </w:t>
            </w:r>
            <w:r w:rsidRPr="004B5CAD">
              <w:rPr>
                <w:rFonts w:ascii="Times New Roman" w:hAnsi="Times New Roman"/>
                <w:sz w:val="24"/>
                <w:szCs w:val="24"/>
                <w:lang w:val="sk-SK"/>
              </w:rPr>
              <w:t xml:space="preserve">zároveň je blízka </w:t>
            </w:r>
            <w:r w:rsidRPr="004B5CAD">
              <w:rPr>
                <w:rFonts w:ascii="Times New Roman" w:hAnsi="Times New Roman"/>
                <w:sz w:val="24"/>
                <w:szCs w:val="24"/>
                <w:lang w:val="sk-SK"/>
              </w:rPr>
              <w:lastRenderedPageBreak/>
              <w:t>doteraz uplatňovaným zdravotným odvodom na dividendy (14 %).</w:t>
            </w: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FA37AD">
            <w:pPr>
              <w:widowControl/>
              <w:spacing w:after="0" w:line="240" w:lineRule="auto"/>
              <w:jc w:val="both"/>
              <w:rPr>
                <w:rFonts w:ascii="Times New Roman" w:hAnsi="Times New Roman"/>
                <w:sz w:val="24"/>
                <w:szCs w:val="24"/>
                <w:lang w:val="sk-SK"/>
              </w:rPr>
            </w:pPr>
          </w:p>
          <w:p w:rsidR="006024E6" w:rsidRPr="004B5CAD" w:rsidRDefault="006024E6" w:rsidP="006024E6">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Ministerstvo financií SR sa </w:t>
            </w:r>
            <w:r w:rsidR="004B5CAD" w:rsidRPr="004B5CAD">
              <w:rPr>
                <w:rFonts w:ascii="Times New Roman" w:hAnsi="Times New Roman"/>
                <w:sz w:val="24"/>
                <w:szCs w:val="24"/>
                <w:lang w:val="sk-SK"/>
              </w:rPr>
              <w:t>domnieva, že</w:t>
            </w:r>
            <w:r w:rsidRPr="004B5CAD">
              <w:rPr>
                <w:rFonts w:ascii="Times New Roman" w:hAnsi="Times New Roman"/>
                <w:sz w:val="24"/>
                <w:szCs w:val="24"/>
                <w:lang w:val="sk-SK"/>
              </w:rPr>
              <w:t xml:space="preserve"> uvedené opatrenie nie je v</w:t>
            </w:r>
            <w:r w:rsidR="002F59D5" w:rsidRPr="004B5CAD">
              <w:rPr>
                <w:rFonts w:ascii="Times New Roman" w:hAnsi="Times New Roman"/>
                <w:sz w:val="24"/>
                <w:szCs w:val="24"/>
                <w:lang w:val="sk-SK"/>
              </w:rPr>
              <w:t> </w:t>
            </w:r>
            <w:r w:rsidRPr="004B5CAD">
              <w:rPr>
                <w:rFonts w:ascii="Times New Roman" w:hAnsi="Times New Roman"/>
                <w:sz w:val="24"/>
                <w:szCs w:val="24"/>
                <w:lang w:val="sk-SK"/>
              </w:rPr>
              <w:t>rozpore so schválenou Koncepciou rozvoja kapitálového trhu, nakoľko podľa uvedenej Koncepcie rozvoja kapitálového trhu, časti 2.4 Dane, odvody a</w:t>
            </w:r>
            <w:r w:rsidR="002F59D5" w:rsidRPr="004B5CAD">
              <w:rPr>
                <w:rFonts w:ascii="Times New Roman" w:hAnsi="Times New Roman"/>
                <w:sz w:val="24"/>
                <w:szCs w:val="24"/>
                <w:lang w:val="sk-SK"/>
              </w:rPr>
              <w:t> </w:t>
            </w:r>
            <w:r w:rsidRPr="004B5CAD">
              <w:rPr>
                <w:rFonts w:ascii="Times New Roman" w:hAnsi="Times New Roman"/>
                <w:sz w:val="24"/>
                <w:szCs w:val="24"/>
                <w:lang w:val="sk-SK"/>
              </w:rPr>
              <w:t>ďalšie náklady na obchodovanie predmetom oslobodenia od dane sú len príjmy z</w:t>
            </w:r>
            <w:r w:rsidR="002F59D5" w:rsidRPr="004B5CAD">
              <w:rPr>
                <w:rFonts w:ascii="Times New Roman" w:hAnsi="Times New Roman"/>
                <w:sz w:val="24"/>
                <w:szCs w:val="24"/>
                <w:lang w:val="sk-SK"/>
              </w:rPr>
              <w:t> </w:t>
            </w:r>
            <w:r w:rsidRPr="004B5CAD">
              <w:rPr>
                <w:rFonts w:ascii="Times New Roman" w:hAnsi="Times New Roman"/>
                <w:sz w:val="24"/>
                <w:szCs w:val="24"/>
                <w:lang w:val="sk-SK"/>
              </w:rPr>
              <w:t>predaja (prevodu) cenných papierov registrovaných na Burze cenných papierov, avšak nie príjmy zo samotnej držby (</w:t>
            </w:r>
            <w:r w:rsidR="004B5CAD" w:rsidRPr="004B5CAD">
              <w:rPr>
                <w:rFonts w:ascii="Times New Roman" w:hAnsi="Times New Roman"/>
                <w:sz w:val="24"/>
                <w:szCs w:val="24"/>
                <w:lang w:val="sk-SK"/>
              </w:rPr>
              <w:t>dividendy</w:t>
            </w:r>
            <w:r w:rsidRPr="004B5CAD">
              <w:rPr>
                <w:rFonts w:ascii="Times New Roman" w:hAnsi="Times New Roman"/>
                <w:sz w:val="24"/>
                <w:szCs w:val="24"/>
                <w:lang w:val="sk-SK"/>
              </w:rPr>
              <w:t>).</w:t>
            </w:r>
          </w:p>
          <w:p w:rsidR="002F59D5" w:rsidRPr="004B5CAD" w:rsidRDefault="00D9699A" w:rsidP="006024E6">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Rozpor trvá.</w:t>
            </w:r>
            <w:bookmarkStart w:id="0" w:name="_GoBack"/>
            <w:bookmarkEnd w:id="0"/>
          </w:p>
        </w:tc>
      </w:tr>
      <w:tr w:rsidR="008B6E00" w:rsidRPr="004B5CAD" w:rsidTr="004B5CAD">
        <w:tc>
          <w:tcPr>
            <w:tcW w:w="297" w:type="pct"/>
          </w:tcPr>
          <w:p w:rsidR="008B6E00" w:rsidRPr="004B5CAD" w:rsidRDefault="002F59D5"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3.</w:t>
            </w:r>
          </w:p>
        </w:tc>
        <w:tc>
          <w:tcPr>
            <w:tcW w:w="440" w:type="pct"/>
          </w:tcPr>
          <w:p w:rsidR="008B6E00" w:rsidRPr="004B5CAD" w:rsidRDefault="002F59D5"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NBS</w:t>
            </w:r>
          </w:p>
        </w:tc>
        <w:tc>
          <w:tcPr>
            <w:tcW w:w="2376" w:type="pct"/>
          </w:tcPr>
          <w:p w:rsidR="008B6E00" w:rsidRPr="004B5CAD" w:rsidRDefault="002F59D5" w:rsidP="008B6E00">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Zdaňovanie výnosov z dlhopisov a pokladničných poukážok NBS</w:t>
            </w:r>
          </w:p>
          <w:p w:rsidR="002F59D5" w:rsidRPr="004B5CAD" w:rsidRDefault="002F59D5" w:rsidP="002F59D5">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NBS žiada vypustiť z jej predmetu dane výnosy z dlhopisov a pokladničných poukážok a výnosy z predaja dlhopisov a pokladničných poukážok v súčasnosti </w:t>
            </w:r>
            <w:r w:rsidR="004B5CAD" w:rsidRPr="004B5CAD">
              <w:rPr>
                <w:rFonts w:ascii="Times New Roman" w:hAnsi="Times New Roman"/>
                <w:sz w:val="24"/>
                <w:szCs w:val="24"/>
                <w:lang w:val="sk-SK"/>
              </w:rPr>
              <w:t>samo zdaňovaných</w:t>
            </w:r>
            <w:r w:rsidRPr="004B5CAD">
              <w:rPr>
                <w:rFonts w:ascii="Times New Roman" w:hAnsi="Times New Roman"/>
                <w:sz w:val="24"/>
                <w:szCs w:val="24"/>
                <w:lang w:val="sk-SK"/>
              </w:rPr>
              <w:t xml:space="preserve"> daňou vyberanou zrážkou.</w:t>
            </w:r>
          </w:p>
        </w:tc>
        <w:tc>
          <w:tcPr>
            <w:tcW w:w="316" w:type="pct"/>
          </w:tcPr>
          <w:p w:rsidR="008B6E00" w:rsidRPr="004B5CAD" w:rsidRDefault="002F59D5" w:rsidP="001E2E47">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2F59D5" w:rsidRPr="004B5CAD" w:rsidRDefault="002F59D5" w:rsidP="00FA37AD">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novely zákona. Zdaňovanie úrokových výnosov z dlhopisov a príjmov z predaja dlhopisov u NBS bolo zavedené z dôvodu zamedzenia obchádzania daňovej povinnosti prostredníctvom krátkych predajov, t. j. predajov dlhopisov krátko pred ich splatnosťou.</w:t>
            </w:r>
          </w:p>
          <w:p w:rsidR="008B6E00" w:rsidRPr="004B5CAD" w:rsidRDefault="00F41036" w:rsidP="002F59D5">
            <w:pPr>
              <w:rPr>
                <w:rFonts w:ascii="Times New Roman" w:hAnsi="Times New Roman"/>
                <w:sz w:val="24"/>
                <w:szCs w:val="24"/>
                <w:lang w:val="sk-SK"/>
              </w:rPr>
            </w:pPr>
            <w:r w:rsidRPr="004B5CAD">
              <w:rPr>
                <w:rFonts w:ascii="Times New Roman" w:hAnsi="Times New Roman"/>
                <w:b/>
                <w:sz w:val="24"/>
                <w:szCs w:val="24"/>
                <w:lang w:val="sk-SK"/>
              </w:rPr>
              <w:t>Rozpor trvá.</w:t>
            </w:r>
          </w:p>
        </w:tc>
      </w:tr>
      <w:tr w:rsidR="002F59D5" w:rsidRPr="004B5CAD" w:rsidTr="004B5CAD">
        <w:tc>
          <w:tcPr>
            <w:tcW w:w="297" w:type="pct"/>
          </w:tcPr>
          <w:p w:rsidR="002F59D5" w:rsidRPr="004B5CAD" w:rsidRDefault="004B5CAD"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4.</w:t>
            </w:r>
          </w:p>
        </w:tc>
        <w:tc>
          <w:tcPr>
            <w:tcW w:w="440" w:type="pct"/>
          </w:tcPr>
          <w:p w:rsidR="002F59D5" w:rsidRPr="004B5CAD" w:rsidRDefault="002F59D5"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 SR</w:t>
            </w:r>
          </w:p>
        </w:tc>
        <w:tc>
          <w:tcPr>
            <w:tcW w:w="2376" w:type="pct"/>
          </w:tcPr>
          <w:p w:rsidR="002F59D5" w:rsidRPr="004B5CAD" w:rsidRDefault="002F59D5" w:rsidP="008B6E00">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Zvýšenie odpočtu výdavkov na výskum a vývoj</w:t>
            </w:r>
          </w:p>
          <w:p w:rsidR="002F59D5" w:rsidRPr="004B5CAD" w:rsidRDefault="001D20E3" w:rsidP="008B6E00">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rPr>
              <w:t>RUZ navrhuje zvýšiť výšku odpočtu nákladov výskum a vývoj odpočítateľných zo základu dane na 100%, čím by sa pristúpilo k porovnateľnej úrovni uplatňovanej vo väčšine krajín EU. (napr. v ČR je tento model aplikovaný od roku 2005 (11 rokov) a v súčasnosti vo výške 100% a 110% z medziročného nárastu nákladov na výskum a vývoj).</w:t>
            </w:r>
          </w:p>
        </w:tc>
        <w:tc>
          <w:tcPr>
            <w:tcW w:w="316" w:type="pct"/>
          </w:tcPr>
          <w:p w:rsidR="002F59D5" w:rsidRPr="004B5CAD" w:rsidRDefault="001D20E3" w:rsidP="001E2E47">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2F59D5" w:rsidRPr="004B5CAD" w:rsidRDefault="001D20E3" w:rsidP="001D20E3">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novely zákona. Programové vyhlásenie vlády SR obsahuje aj prehodnotenie výšky výdavkov na výskum a vývoj,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p w:rsidR="00F41036" w:rsidRPr="004B5CAD" w:rsidRDefault="00F41036" w:rsidP="001D20E3">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0279D2" w:rsidRPr="004B5CAD" w:rsidTr="004B5CAD">
        <w:tc>
          <w:tcPr>
            <w:tcW w:w="297" w:type="pct"/>
          </w:tcPr>
          <w:p w:rsidR="000279D2" w:rsidRPr="004B5CAD" w:rsidRDefault="004B5CAD"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5.</w:t>
            </w:r>
          </w:p>
        </w:tc>
        <w:tc>
          <w:tcPr>
            <w:tcW w:w="440" w:type="pct"/>
          </w:tcPr>
          <w:p w:rsidR="007C5B46" w:rsidRPr="004B5CAD" w:rsidRDefault="001D20E3"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w:t>
            </w:r>
          </w:p>
          <w:p w:rsidR="00776F80" w:rsidRPr="004B5CAD" w:rsidRDefault="00776F80"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ZAP SR</w:t>
            </w:r>
          </w:p>
        </w:tc>
        <w:tc>
          <w:tcPr>
            <w:tcW w:w="2376" w:type="pct"/>
          </w:tcPr>
          <w:p w:rsidR="001D20E3" w:rsidRPr="004B5CAD" w:rsidRDefault="001D20E3" w:rsidP="001D20E3">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Rozšírenie možnosti tvorby opravných položiek aj pre spotrebiteľské úvery poskytnuté spoločnosťami nepodliehajúcimi NBS</w:t>
            </w:r>
          </w:p>
          <w:p w:rsidR="00F41036" w:rsidRPr="004B5CAD" w:rsidRDefault="00F41036" w:rsidP="00A554D7">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RÚZ navrhuje</w:t>
            </w:r>
            <w:r w:rsidR="00224FFB" w:rsidRPr="004B5CAD">
              <w:rPr>
                <w:rFonts w:ascii="Times New Roman" w:hAnsi="Times New Roman"/>
                <w:sz w:val="24"/>
                <w:szCs w:val="24"/>
                <w:lang w:val="sk-SK"/>
              </w:rPr>
              <w:t xml:space="preserve"> rozšírenie odpisu pohľadávky a tvorby opravnej položky pre  </w:t>
            </w:r>
            <w:r w:rsidR="00A554D7" w:rsidRPr="004B5CAD">
              <w:rPr>
                <w:rFonts w:ascii="Times New Roman" w:hAnsi="Times New Roman"/>
                <w:sz w:val="24"/>
                <w:szCs w:val="24"/>
                <w:lang w:val="sk-SK"/>
              </w:rPr>
              <w:t>spoločnosti s predmetom podnikania - financovanie obstarania majetku (l</w:t>
            </w:r>
            <w:r w:rsidR="00224FFB" w:rsidRPr="004B5CAD">
              <w:rPr>
                <w:rFonts w:ascii="Times New Roman" w:hAnsi="Times New Roman"/>
                <w:sz w:val="24"/>
                <w:szCs w:val="24"/>
                <w:lang w:val="sk-SK"/>
              </w:rPr>
              <w:t>ízingové spoločnosti</w:t>
            </w:r>
            <w:r w:rsidR="00A554D7" w:rsidRPr="004B5CAD">
              <w:rPr>
                <w:rFonts w:ascii="Times New Roman" w:hAnsi="Times New Roman"/>
                <w:sz w:val="24"/>
                <w:szCs w:val="24"/>
                <w:lang w:val="sk-SK"/>
              </w:rPr>
              <w:t>). Ide o nepatričné opatrenie, nakoľko ide o paušálny záber aj na oblasti so štandardným spôsobom podnikania a s dopadom aj na seriózne podnikateľské subjekty. Bankám a poskytovateľom spotrebiteľských úverov tak vznikla neodôvodnená výhoda, nakoľko majú lepšie podmienky na podnikanie. Navrhovanou zmenou sa zároveň odstraňujú novovzniknuté paradoxy</w:t>
            </w:r>
          </w:p>
        </w:tc>
        <w:tc>
          <w:tcPr>
            <w:tcW w:w="316" w:type="pct"/>
          </w:tcPr>
          <w:p w:rsidR="000279D2" w:rsidRPr="004B5CAD" w:rsidRDefault="007D14F5" w:rsidP="00F41036">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0279D2" w:rsidRPr="004B5CAD" w:rsidRDefault="00A554D7" w:rsidP="00FA37AD">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 Zámerom úpravy Ministerstva financií SR od 1. 1. 2015 bolo umožniť tvorbu opravných položiek a odpis pohľadávok len z úverov spoločností, ktoré podliehajú dohľadu NBS.</w:t>
            </w:r>
          </w:p>
          <w:p w:rsidR="00A554D7" w:rsidRPr="004B5CAD" w:rsidRDefault="00A554D7" w:rsidP="00FA37AD">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p w:rsidR="00A554D7" w:rsidRPr="004B5CAD" w:rsidRDefault="00A554D7" w:rsidP="00FA37AD">
            <w:pPr>
              <w:widowControl/>
              <w:spacing w:after="0" w:line="240" w:lineRule="auto"/>
              <w:jc w:val="both"/>
              <w:rPr>
                <w:rFonts w:ascii="Times New Roman" w:hAnsi="Times New Roman"/>
                <w:b/>
                <w:sz w:val="24"/>
                <w:szCs w:val="24"/>
                <w:lang w:val="sk-SK"/>
              </w:rPr>
            </w:pPr>
          </w:p>
        </w:tc>
      </w:tr>
      <w:tr w:rsidR="000279D2" w:rsidRPr="004B5CAD" w:rsidTr="004B5CAD">
        <w:tc>
          <w:tcPr>
            <w:tcW w:w="297" w:type="pct"/>
          </w:tcPr>
          <w:p w:rsidR="000279D2" w:rsidRPr="004B5CAD" w:rsidRDefault="004B5CAD" w:rsidP="004B5CAD">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6.</w:t>
            </w:r>
          </w:p>
        </w:tc>
        <w:tc>
          <w:tcPr>
            <w:tcW w:w="440" w:type="pct"/>
          </w:tcPr>
          <w:p w:rsidR="000279D2" w:rsidRPr="004B5CAD" w:rsidRDefault="00F41036" w:rsidP="002055BD">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w:t>
            </w:r>
          </w:p>
        </w:tc>
        <w:tc>
          <w:tcPr>
            <w:tcW w:w="2376" w:type="pct"/>
          </w:tcPr>
          <w:p w:rsidR="000279D2" w:rsidRPr="004B5CAD" w:rsidRDefault="00224FFB" w:rsidP="002055BD">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Zmeny v odpisovaní</w:t>
            </w:r>
            <w:r w:rsidR="00F41036" w:rsidRPr="004B5CAD">
              <w:rPr>
                <w:rFonts w:ascii="Times New Roman" w:hAnsi="Times New Roman"/>
                <w:b/>
                <w:sz w:val="24"/>
                <w:szCs w:val="24"/>
                <w:lang w:val="sk-SK"/>
              </w:rPr>
              <w:t xml:space="preserve"> </w:t>
            </w:r>
            <w:r w:rsidRPr="004B5CAD">
              <w:rPr>
                <w:rFonts w:ascii="Times New Roman" w:hAnsi="Times New Roman"/>
                <w:b/>
                <w:sz w:val="24"/>
                <w:szCs w:val="24"/>
                <w:lang w:val="sk-SK"/>
              </w:rPr>
              <w:t>p</w:t>
            </w:r>
            <w:r w:rsidR="00F41036" w:rsidRPr="004B5CAD">
              <w:rPr>
                <w:rFonts w:ascii="Times New Roman" w:hAnsi="Times New Roman"/>
                <w:b/>
                <w:sz w:val="24"/>
                <w:szCs w:val="24"/>
                <w:lang w:val="sk-SK"/>
              </w:rPr>
              <w:t>riemyseln</w:t>
            </w:r>
            <w:r w:rsidRPr="004B5CAD">
              <w:rPr>
                <w:rFonts w:ascii="Times New Roman" w:hAnsi="Times New Roman"/>
                <w:b/>
                <w:sz w:val="24"/>
                <w:szCs w:val="24"/>
                <w:lang w:val="sk-SK"/>
              </w:rPr>
              <w:t>ých</w:t>
            </w:r>
            <w:r w:rsidR="00F41036" w:rsidRPr="004B5CAD">
              <w:rPr>
                <w:rFonts w:ascii="Times New Roman" w:hAnsi="Times New Roman"/>
                <w:b/>
                <w:sz w:val="24"/>
                <w:szCs w:val="24"/>
                <w:lang w:val="sk-SK"/>
              </w:rPr>
              <w:t xml:space="preserve"> stav</w:t>
            </w:r>
            <w:r w:rsidRPr="004B5CAD">
              <w:rPr>
                <w:rFonts w:ascii="Times New Roman" w:hAnsi="Times New Roman"/>
                <w:b/>
                <w:sz w:val="24"/>
                <w:szCs w:val="24"/>
                <w:lang w:val="sk-SK"/>
              </w:rPr>
              <w:t>ie</w:t>
            </w:r>
            <w:r w:rsidR="00F41036" w:rsidRPr="004B5CAD">
              <w:rPr>
                <w:rFonts w:ascii="Times New Roman" w:hAnsi="Times New Roman"/>
                <w:b/>
                <w:sz w:val="24"/>
                <w:szCs w:val="24"/>
                <w:lang w:val="sk-SK"/>
              </w:rPr>
              <w:t>b a sklad</w:t>
            </w:r>
            <w:r w:rsidRPr="004B5CAD">
              <w:rPr>
                <w:rFonts w:ascii="Times New Roman" w:hAnsi="Times New Roman"/>
                <w:b/>
                <w:sz w:val="24"/>
                <w:szCs w:val="24"/>
                <w:lang w:val="sk-SK"/>
              </w:rPr>
              <w:t>ov</w:t>
            </w:r>
          </w:p>
          <w:p w:rsidR="00224FFB" w:rsidRPr="004B5CAD" w:rsidRDefault="00F41036" w:rsidP="002055BD">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RÚZ navrhuje</w:t>
            </w:r>
          </w:p>
          <w:p w:rsidR="00224FFB" w:rsidRPr="004B5CAD" w:rsidRDefault="00F41036" w:rsidP="00224FFB">
            <w:pPr>
              <w:pStyle w:val="Odsekzoznamu"/>
              <w:widowControl/>
              <w:numPr>
                <w:ilvl w:val="0"/>
                <w:numId w:val="4"/>
              </w:numPr>
              <w:spacing w:after="0" w:line="240" w:lineRule="auto"/>
              <w:ind w:left="329" w:hanging="284"/>
              <w:jc w:val="both"/>
              <w:rPr>
                <w:rFonts w:ascii="Times New Roman" w:hAnsi="Times New Roman"/>
                <w:sz w:val="24"/>
                <w:szCs w:val="24"/>
                <w:lang w:val="sk-SK"/>
              </w:rPr>
            </w:pPr>
            <w:r w:rsidRPr="004B5CAD">
              <w:rPr>
                <w:rFonts w:ascii="Times New Roman" w:hAnsi="Times New Roman"/>
                <w:sz w:val="24"/>
                <w:szCs w:val="24"/>
                <w:lang w:val="sk-SK"/>
              </w:rPr>
              <w:t xml:space="preserve"> zavedenie novej odpisovej skupiny s dobou odpisovania 10 rokov</w:t>
            </w:r>
          </w:p>
          <w:p w:rsidR="00224FFB" w:rsidRPr="004B5CAD" w:rsidRDefault="00224FFB" w:rsidP="00224FFB">
            <w:pPr>
              <w:pStyle w:val="Odsekzoznamu"/>
              <w:widowControl/>
              <w:numPr>
                <w:ilvl w:val="0"/>
                <w:numId w:val="4"/>
              </w:numPr>
              <w:spacing w:after="0" w:line="240" w:lineRule="auto"/>
              <w:ind w:left="329" w:hanging="284"/>
              <w:jc w:val="both"/>
              <w:rPr>
                <w:rFonts w:ascii="Times New Roman" w:hAnsi="Times New Roman"/>
                <w:sz w:val="24"/>
                <w:szCs w:val="24"/>
                <w:lang w:val="sk-SK"/>
              </w:rPr>
            </w:pPr>
            <w:r w:rsidRPr="004B5CAD">
              <w:rPr>
                <w:rFonts w:ascii="Times New Roman" w:hAnsi="Times New Roman"/>
                <w:sz w:val="24"/>
                <w:szCs w:val="24"/>
                <w:lang w:val="sk-SK"/>
              </w:rPr>
              <w:t>doplnenie priemyselných stavieb a skladov do odpisovej skupiny 4 s dobou odpisovania 12 rokov</w:t>
            </w:r>
          </w:p>
          <w:p w:rsidR="00224FFB" w:rsidRPr="004B5CAD" w:rsidRDefault="00224FFB" w:rsidP="00224FFB">
            <w:pPr>
              <w:pStyle w:val="Odsekzoznamu"/>
              <w:widowControl/>
              <w:spacing w:after="0" w:line="240" w:lineRule="auto"/>
              <w:ind w:left="45"/>
              <w:jc w:val="both"/>
              <w:rPr>
                <w:rFonts w:ascii="Times New Roman" w:hAnsi="Times New Roman"/>
                <w:sz w:val="24"/>
                <w:szCs w:val="24"/>
                <w:lang w:val="sk-SK"/>
              </w:rPr>
            </w:pPr>
            <w:r w:rsidRPr="004B5CAD">
              <w:rPr>
                <w:rFonts w:ascii="Times New Roman" w:hAnsi="Times New Roman"/>
                <w:sz w:val="24"/>
                <w:szCs w:val="24"/>
                <w:lang w:val="sk-SK"/>
              </w:rPr>
              <w:t xml:space="preserve">Návrh vychádza z predpokladu, že sa bude vzťahovať na budovy, ktoré budú zaradené do používania po účinnosti tejto novely zákona </w:t>
            </w:r>
            <w:r w:rsidRPr="004B5CAD">
              <w:rPr>
                <w:rFonts w:ascii="Times New Roman" w:hAnsi="Times New Roman"/>
                <w:sz w:val="24"/>
                <w:szCs w:val="24"/>
                <w:lang w:val="sk-SK"/>
              </w:rPr>
              <w:lastRenderedPageBreak/>
              <w:t xml:space="preserve">o dani z príjmu. V oboch prípadoch (alternatívach) možno oprávnene očakávať, že príde k: </w:t>
            </w:r>
          </w:p>
          <w:p w:rsidR="00224FFB" w:rsidRPr="004B5CAD" w:rsidRDefault="00224FFB" w:rsidP="00224FFB">
            <w:pPr>
              <w:pStyle w:val="Odsekzoznamu"/>
              <w:widowControl/>
              <w:spacing w:after="0" w:line="240" w:lineRule="auto"/>
              <w:ind w:left="45"/>
              <w:jc w:val="both"/>
              <w:rPr>
                <w:rFonts w:ascii="Times New Roman" w:hAnsi="Times New Roman"/>
                <w:sz w:val="24"/>
                <w:szCs w:val="24"/>
                <w:lang w:val="sk-SK"/>
              </w:rPr>
            </w:pPr>
            <w:r w:rsidRPr="004B5CAD">
              <w:rPr>
                <w:rFonts w:ascii="Times New Roman" w:hAnsi="Times New Roman"/>
                <w:sz w:val="24"/>
                <w:szCs w:val="24"/>
                <w:lang w:val="sk-SK"/>
              </w:rPr>
              <w:t>a) posilneniu úlohy súkromných stavebných investícií</w:t>
            </w:r>
          </w:p>
          <w:p w:rsidR="00224FFB" w:rsidRPr="004B5CAD" w:rsidRDefault="00224FFB" w:rsidP="00224FFB">
            <w:pPr>
              <w:pStyle w:val="Odsekzoznamu"/>
              <w:widowControl/>
              <w:spacing w:after="0" w:line="240" w:lineRule="auto"/>
              <w:ind w:left="329" w:hanging="284"/>
              <w:jc w:val="both"/>
              <w:rPr>
                <w:rFonts w:ascii="Times New Roman" w:hAnsi="Times New Roman"/>
                <w:sz w:val="24"/>
                <w:szCs w:val="24"/>
                <w:lang w:val="sk-SK"/>
              </w:rPr>
            </w:pPr>
            <w:r w:rsidRPr="004B5CAD">
              <w:rPr>
                <w:rFonts w:ascii="Times New Roman" w:hAnsi="Times New Roman"/>
                <w:sz w:val="24"/>
                <w:szCs w:val="24"/>
                <w:lang w:val="sk-SK"/>
              </w:rPr>
              <w:t xml:space="preserve">b) diverzifikácii rizika absolútnej orientácie stavebných firiem na veľké infraštruktúrne projekty financované štátom </w:t>
            </w:r>
          </w:p>
          <w:p w:rsidR="00F41036" w:rsidRPr="004B5CAD" w:rsidRDefault="00224FFB" w:rsidP="00224FFB">
            <w:pPr>
              <w:pStyle w:val="Odsekzoznamu"/>
              <w:widowControl/>
              <w:spacing w:after="0" w:line="240" w:lineRule="auto"/>
              <w:ind w:left="329" w:hanging="284"/>
              <w:jc w:val="both"/>
              <w:rPr>
                <w:rFonts w:ascii="Times New Roman" w:hAnsi="Times New Roman"/>
                <w:sz w:val="24"/>
                <w:szCs w:val="24"/>
                <w:lang w:val="sk-SK"/>
              </w:rPr>
            </w:pPr>
            <w:r w:rsidRPr="004B5CAD">
              <w:rPr>
                <w:rFonts w:ascii="Times New Roman" w:hAnsi="Times New Roman"/>
                <w:sz w:val="24"/>
                <w:szCs w:val="24"/>
                <w:lang w:val="sk-SK"/>
              </w:rPr>
              <w:t>c) zvýšeniu konkurencieschopnosti Slovenska pri získavaní zahraničných investícií, resp. k zlepšeniu podmienok domácich priemyselných investorov.</w:t>
            </w:r>
          </w:p>
        </w:tc>
        <w:tc>
          <w:tcPr>
            <w:tcW w:w="316" w:type="pct"/>
          </w:tcPr>
          <w:p w:rsidR="000279D2" w:rsidRPr="004B5CAD" w:rsidRDefault="00F41036" w:rsidP="00F41036">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lastRenderedPageBreak/>
              <w:t>Z</w:t>
            </w:r>
          </w:p>
        </w:tc>
        <w:tc>
          <w:tcPr>
            <w:tcW w:w="1571" w:type="pct"/>
          </w:tcPr>
          <w:p w:rsidR="000279D2" w:rsidRPr="004B5CAD" w:rsidRDefault="00224FFB" w:rsidP="00224FFB">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 Zmeny v odpisovej politike je možné analyzovať v budúcich rokoch.</w:t>
            </w:r>
          </w:p>
          <w:p w:rsidR="00224FFB" w:rsidRPr="004B5CAD" w:rsidRDefault="00224FFB" w:rsidP="00224FFB">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4B5CAD">
              <w:rPr>
                <w:rFonts w:ascii="Times New Roman" w:hAnsi="Times New Roman"/>
                <w:b/>
                <w:sz w:val="24"/>
                <w:szCs w:val="24"/>
              </w:rPr>
              <w:t>8.</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 SR</w:t>
            </w:r>
          </w:p>
          <w:p w:rsidR="00B53A81" w:rsidRPr="004B5CAD" w:rsidRDefault="00B53A81" w:rsidP="00B53A81">
            <w:pPr>
              <w:widowControl/>
              <w:spacing w:after="0" w:line="240" w:lineRule="auto"/>
              <w:jc w:val="both"/>
              <w:rPr>
                <w:rFonts w:ascii="Times New Roman" w:hAnsi="Times New Roman"/>
                <w:b/>
                <w:sz w:val="24"/>
                <w:szCs w:val="24"/>
              </w:rPr>
            </w:pP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Úprava definície primárnej úpravy základu dane</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Podľa RÚZ nové úpravy v oblasti transferového oceňovania vo všeobecnosti zvyšujú administratívnu záťaž a zavádzajú komplikáciu na zistenie rozdielu pri kontrolovaných transakciách, t.j. skúmanie podmienok v zmluvách, či sa líšia od štandardných podmienok považujeme za nadbytočné, nakoľko pre určenie dane je rozhodujúca finančná čiastka.</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eastAsia="sk-SK"/>
              </w:rPr>
              <w:t>Skúmanie podmienok v zmluvách je upravené s cieľom, aby daňovníci mohli určiť ceny aj nepriamo – skrz ziskové marže.</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9.</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Umožnenie odvolania voči zamietnutej žiadosti o odsúhlasenie metódy ocenenia</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 xml:space="preserve">RUZ </w:t>
            </w:r>
            <w:r w:rsidRPr="004B5CAD">
              <w:rPr>
                <w:rFonts w:ascii="Times New Roman" w:hAnsi="Times New Roman"/>
                <w:sz w:val="24"/>
                <w:szCs w:val="24"/>
                <w:lang w:val="sk-SK"/>
              </w:rPr>
              <w:t xml:space="preserve">navrhuje aby mal daňovník možnosť podať odvolanie voči neuznanej žiadosti o odsúhlasenej metódy ocenenia, vzhľadom nato že daňovník zaplatí poplatok správcovi dane, t.j. daňovník by mal mať možnosť obhájiť svoj návrh v odvolacom konaní. </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rPr>
                <w:rFonts w:ascii="Times New Roman" w:hAnsi="Times New Roman"/>
                <w:sz w:val="24"/>
                <w:szCs w:val="24"/>
                <w:lang w:val="sk-SK"/>
              </w:rPr>
            </w:pPr>
            <w:r w:rsidRPr="004B5CAD">
              <w:rPr>
                <w:rFonts w:ascii="Times New Roman" w:hAnsi="Times New Roman"/>
                <w:sz w:val="24"/>
                <w:szCs w:val="24"/>
                <w:lang w:val="sk-SK"/>
              </w:rPr>
              <w:t>V prípade vydania rozhodnutia by boli daňovník a správca dane viazaní rozhodnutím aj pri nevyhovení žiadosti. Ak správca dane vydá oznámenie o nevyhovení žiadosti a daňovník nesúhlasí s názorom správcu dane môže stále aplikovať príslušnú metódu a výpočet marže.</w:t>
            </w:r>
          </w:p>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10.</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w:t>
            </w:r>
          </w:p>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AZZZ SR</w:t>
            </w:r>
          </w:p>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Poplatky za žiadosť o odsúhlasenie metódy ocenenia</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RÚZ navrhuje v uvedenom ustanovení znížiť sumy úhrad z 10 000 eur na 1 000 eur a z 30 000 eur na 3 000 eur z dôvodu vysokej výšky poplatku. Správcovia daní majú kvalifikovaný aparát pre oblasť TP, </w:t>
            </w:r>
            <w:r w:rsidRPr="004B5CAD">
              <w:rPr>
                <w:rFonts w:ascii="Times New Roman" w:hAnsi="Times New Roman"/>
                <w:sz w:val="24"/>
                <w:szCs w:val="24"/>
                <w:lang w:val="sk-SK"/>
              </w:rPr>
              <w:lastRenderedPageBreak/>
              <w:t xml:space="preserve">takže posúdenie detailných údajov, ktoré spracuje a predloží správcovi dane daňovník nemôže mať hodnotu práce 10 000 resp. 30 000 EUR. </w:t>
            </w:r>
          </w:p>
          <w:p w:rsidR="00B53A81" w:rsidRPr="004B5CAD" w:rsidRDefault="00B53A81" w:rsidP="00B53A81">
            <w:pPr>
              <w:widowControl/>
              <w:spacing w:after="0" w:line="240" w:lineRule="auto"/>
              <w:jc w:val="both"/>
              <w:rPr>
                <w:rFonts w:ascii="Times New Roman" w:hAnsi="Times New Roman"/>
                <w:sz w:val="24"/>
                <w:szCs w:val="24"/>
                <w:lang w:val="sk-SK"/>
              </w:rPr>
            </w:pP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AZZZ SR navrhuje ponechať teraz platnú výšku úhrad. Už pôvodná výška úhrad za záväzné stanoviská vo výške najmenej 4 000, 5 000 a 6 000 eur je neprimerane vysoká a jej ďalšie neodôvodnené zvyšovanie nemá opodstatnenie a oporu v žiadnom zákona.</w:t>
            </w:r>
          </w:p>
          <w:p w:rsidR="00B53A81" w:rsidRPr="004B5CAD" w:rsidRDefault="00B53A81" w:rsidP="00B53A81">
            <w:pPr>
              <w:widowControl/>
              <w:spacing w:after="0" w:line="240" w:lineRule="auto"/>
              <w:jc w:val="both"/>
              <w:rPr>
                <w:rFonts w:ascii="Times New Roman" w:hAnsi="Times New Roman"/>
                <w:sz w:val="24"/>
                <w:szCs w:val="24"/>
                <w:lang w:val="sk-SK"/>
              </w:rPr>
            </w:pP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SBA zastáva názor, že poplatky by nemali byť vysoké aby nedemotivovali podávanie žiadosti. SBA žiada predkladateľa o vysvetlenie, z akého dôvodu sa významne zvyšuje poplatok na vydanie rozhodnutia o odsúhlasení použitia konkrétnej metódy ocenenia pri úprave základu dane závislých osôb, najmä vzhľadom na skutočnosť, že k augustu 2015 neevidovala finančná správa žiaden podnikateľský subjekt, ktorý by o vydanie tohto inštitútu požiadal.</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lastRenderedPageBreak/>
              <w:t>Z</w:t>
            </w:r>
          </w:p>
        </w:tc>
        <w:tc>
          <w:tcPr>
            <w:tcW w:w="1571" w:type="pct"/>
          </w:tcPr>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sz w:val="24"/>
                <w:szCs w:val="24"/>
                <w:lang w:val="sk-SK" w:eastAsia="sk-SK"/>
              </w:rPr>
              <w:t>Od spoplatnenia žiadostí boli podané 3 unilaterálne APA, kde 2 boli za maximálny poplatok 30000 eur a jedna APA za 4000.</w:t>
            </w:r>
          </w:p>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sz w:val="24"/>
                <w:szCs w:val="24"/>
                <w:lang w:val="sk-SK" w:eastAsia="sk-SK"/>
              </w:rPr>
              <w:lastRenderedPageBreak/>
              <w:t>Čiže v dvoch prípadoch by poplatok mal pozitívny vplyv na daňovníka o 20000 eur a v jednom negatívny o 6000 eur.</w:t>
            </w:r>
          </w:p>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sz w:val="24"/>
                <w:szCs w:val="24"/>
                <w:lang w:val="sk-SK" w:eastAsia="sk-SK"/>
              </w:rPr>
              <w:t>Fixné nastavenie výšky poplatkov na 10000 eur pri unilaterálnej APA bude mať prevažne pozitívny dopad.</w:t>
            </w:r>
          </w:p>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sz w:val="24"/>
                <w:szCs w:val="24"/>
                <w:lang w:val="sk-SK" w:eastAsia="sk-SK"/>
              </w:rPr>
              <w:t>Výška poplatku za APA reálne odráža priame a nepriame náklady finančnej správy.</w:t>
            </w:r>
          </w:p>
          <w:p w:rsidR="00B53A81" w:rsidRPr="004B5CAD" w:rsidRDefault="00B53A81" w:rsidP="00B53A81">
            <w:pPr>
              <w:widowControl/>
              <w:spacing w:after="0" w:line="240" w:lineRule="auto"/>
              <w:rPr>
                <w:rFonts w:ascii="Times New Roman" w:hAnsi="Times New Roman"/>
                <w:sz w:val="24"/>
                <w:szCs w:val="24"/>
                <w:lang w:val="sk-SK" w:eastAsia="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11.</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w:t>
            </w:r>
          </w:p>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ZAP SR</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Zmeny pri uplatňovaní výdavkov len po zaplatení</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RUZ a SBA navrhujú vypustiť ustanovenie týkajúce sa uplatnenia nákladov do daňových výdavkov len po zaplatení. Posudzovanie bežných nákladov podľa uvedených zásad spôsobuje nadmernú administratívu, keďže ide o „jednorazové“ opatrenie a daňová uznateľnosť daného nákladu je len posunutá v čase, považujeme to za neúmerné zaťažovanie daňovníka, ktorý musí zaviesť monitorovacie systémy a rôzne kontroly na správne podanie daňového priznania, takisto jednou a tou istou vecou sa musí zaoberať v min. dvoch daňových priznaniach.</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 Uvedená úprava bola zavedená s účinnosťou od 1. 1. 2015 z dôvodu konsolidácie verejných financií. Predmetné ustanovenia boli zavedené na hotovostnom princípe predovšetkým za účelom zabraňovania daňovým únikom.</w:t>
            </w:r>
          </w:p>
          <w:p w:rsidR="00B53A81" w:rsidRPr="004B5CAD" w:rsidRDefault="00B53A81" w:rsidP="00B53A81">
            <w:pPr>
              <w:widowControl/>
              <w:spacing w:after="0" w:line="240" w:lineRule="auto"/>
              <w:jc w:val="both"/>
              <w:rPr>
                <w:rFonts w:ascii="Times New Roman" w:hAnsi="Times New Roman"/>
                <w:sz w:val="24"/>
                <w:szCs w:val="24"/>
                <w:lang w:val="sk-SK" w:eastAsia="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12.</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Znovuzavedenie úpravy základu dane týkajúcej sa príjmu prislúchajúceho k výdavku, ktorý nebol uznaný za daňový výdavok</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RUZ opätovne navrhuje zavedenie úpravy, podľa ktorej sa do základu dane nezahŕňa príjem prislúchajúci k výdavku, ktorý nebol </w:t>
            </w:r>
            <w:r w:rsidRPr="004B5CAD">
              <w:rPr>
                <w:rFonts w:ascii="Times New Roman" w:hAnsi="Times New Roman"/>
                <w:sz w:val="24"/>
                <w:szCs w:val="24"/>
                <w:lang w:val="sk-SK"/>
              </w:rPr>
              <w:lastRenderedPageBreak/>
              <w:t xml:space="preserve">uznaný za daňový výdavok. </w:t>
            </w:r>
            <w:r w:rsidRPr="004B5CAD">
              <w:rPr>
                <w:rFonts w:ascii="Times New Roman" w:hAnsi="Times New Roman"/>
                <w:sz w:val="24"/>
                <w:szCs w:val="24"/>
                <w:lang w:val="sk-SK" w:eastAsia="sk-SK"/>
              </w:rPr>
              <w:t>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Cieľom je eliminovať duplicitné zdanenie.</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lastRenderedPageBreak/>
              <w:t>Z</w:t>
            </w:r>
          </w:p>
        </w:tc>
        <w:tc>
          <w:tcPr>
            <w:tcW w:w="1571" w:type="pct"/>
          </w:tcPr>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Navrhovaná úprava je nad rámec návrhu zákona. Uvedené ustanovenie bolo zo zákona vypustené z dôvodu zneužívania daňovníkmi. Častokrát bolo používané aj na </w:t>
            </w:r>
            <w:r w:rsidRPr="004B5CAD">
              <w:rPr>
                <w:rFonts w:ascii="Times New Roman" w:hAnsi="Times New Roman"/>
                <w:sz w:val="24"/>
                <w:szCs w:val="24"/>
                <w:lang w:val="sk-SK"/>
              </w:rPr>
              <w:lastRenderedPageBreak/>
              <w:t>úpravu základu dane, ktoré sú v zákone upravené inými ustanoveniami.</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13.</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RÚZ</w:t>
            </w:r>
          </w:p>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Znovuzavedenie uznateľnosti zmluvných sankcii do daňových výdavkov po ich zaplatení</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RUZ navrhuje znovu umožniť daňovú uznateľnosť príslušenstva pohľadávok - paušálne náhrady nákladov spojených s uplatnením pohľadávok,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(dlžníka) pri splnení stanovených podmienok (v tomto prípade 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 Uvedená úprava bola zavedená od 1. 1. 2015 z dôvodu zlepšenia platobnej disciplíny v rámci dodávateľsko-odberateľských vzťahov.</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14.</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w:t>
            </w:r>
          </w:p>
          <w:p w:rsidR="00B53A81" w:rsidRPr="004B5CAD" w:rsidRDefault="00B53A81" w:rsidP="00B53A81">
            <w:pPr>
              <w:widowControl/>
              <w:spacing w:after="0" w:line="240" w:lineRule="auto"/>
              <w:jc w:val="both"/>
              <w:rPr>
                <w:rFonts w:ascii="Times New Roman" w:hAnsi="Times New Roman"/>
                <w:b/>
                <w:sz w:val="24"/>
                <w:szCs w:val="24"/>
              </w:rPr>
            </w:pP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zrušenie navrhovaného sankčného systému podľa § 18a</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rPr>
              <w:t>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miere, podľa aktuálnej potreby bez racionálneho odôvodnenia.</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jc w:val="both"/>
              <w:rPr>
                <w:rFonts w:ascii="Times New Roman" w:hAnsi="Times New Roman"/>
                <w:sz w:val="24"/>
                <w:szCs w:val="24"/>
                <w:lang w:val="sk-SK" w:eastAsia="sk-SK"/>
              </w:rPr>
            </w:pPr>
            <w:r w:rsidRPr="004B5CAD">
              <w:rPr>
                <w:rFonts w:ascii="Times New Roman" w:hAnsi="Times New Roman"/>
                <w:sz w:val="24"/>
                <w:szCs w:val="24"/>
                <w:lang w:val="sk-SK" w:eastAsia="sk-SK"/>
              </w:rPr>
              <w:t xml:space="preserve">V boji proti daňovým podvodom a agresívnemu daňovému plánovaniu vidí Ministerstvo financií SR trend vo viacerých krajinách stanovovať výšku sankcie za obdobné porušenia v rozmedzí od 100 do 300 percent z dorubu. Toto ustanovenie má pôsobiť preventívne. Znenie ustanovenia už dostatočne obsahuje koncepciu agresívneho daňového plánovania. </w:t>
            </w:r>
          </w:p>
          <w:p w:rsidR="00B53A81" w:rsidRPr="004B5CAD" w:rsidRDefault="00B53A81" w:rsidP="00B53A81">
            <w:pPr>
              <w:widowControl/>
              <w:spacing w:after="0" w:line="240" w:lineRule="auto"/>
              <w:rPr>
                <w:rFonts w:ascii="Times New Roman" w:hAnsi="Times New Roman"/>
                <w:sz w:val="24"/>
                <w:szCs w:val="24"/>
                <w:lang w:val="sk-SK" w:eastAsia="sk-SK"/>
              </w:rPr>
            </w:pP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eastAsia="sk-SK"/>
              </w:rPr>
              <w:t>Ide o bežnú prax v mnohých štátoch a nie je nijako dotknuté ústavné právo daňovníka na spravodlivý proces.</w:t>
            </w:r>
          </w:p>
          <w:p w:rsidR="00B53A81" w:rsidRPr="004B5CAD" w:rsidRDefault="00B53A81" w:rsidP="00B53A81">
            <w:pPr>
              <w:ind w:hanging="28"/>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15.</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Definovanie pojmu vedenie</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rPr>
              <w:t>RÚZ navrhuje aby sa pojem vedenie právnickej osoby vzťahoval len na obchodné spoločnosti a družstvá a nerozširoval na všetky právnické osoby. Pojem právnická osoba však zahŕňa aj ďalšie typy právnických osôb mimo obchodnej sféry napr. nadácie a občianske združenia. Uvedené ustanovenia tak v navrhovanej osoby môžu spôsobiť výraznú administratívnu záťaž, spôsobenú tým, že tieto typy právnických osôb (nadácie, občianske združenia) a daňovník budú považované za prepojené osoby.</w:t>
            </w:r>
          </w:p>
          <w:p w:rsidR="00B53A81" w:rsidRPr="004B5CAD" w:rsidRDefault="00B53A81" w:rsidP="00B53A81">
            <w:pPr>
              <w:widowControl/>
              <w:spacing w:after="0" w:line="240" w:lineRule="auto"/>
              <w:jc w:val="both"/>
              <w:rPr>
                <w:rFonts w:ascii="Times New Roman" w:hAnsi="Times New Roman"/>
                <w:b/>
                <w:sz w:val="24"/>
                <w:szCs w:val="24"/>
                <w:lang w:val="sk-SK"/>
              </w:rPr>
            </w:pP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Nadácie a občianske združenia pokiaľ nemajú zdaniteľný príjem, tak sa na tieto právnické osoby nevzťahuje ani povinnosť úpravy základu dane závislej osoby,  t.j. transferová povinnosť. Pokiaľ cieľom nadácie alebo OZ je dosahovanie zisku malo by sa na takéto subjekty hľadieť rovnako  ako na iné subjekty, ktoré dosahujú zisk.</w:t>
            </w:r>
          </w:p>
          <w:p w:rsidR="00D9699A" w:rsidRPr="004B5CAD" w:rsidRDefault="00D9699A" w:rsidP="00B53A81">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16.</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RUZ</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Oslobodenie príjmov z predaja obchodných podielov a akcii</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RUZ navrhuje zavedenie oslobodenia príjmov z predaja obchodných podielov a akcií od dane tak, aby zisky z predaja obchodných podielov a akcií slovenských spoločností boli po splnení podmienok oslobodené od dane z príjmov právnických osôb. Podmienky</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 minimálny podiel na základnom imaní spoločnosti, ktorej obchodné podiely alebo akcie sa predávajú, napr. 10% alebo 25%, </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 minimálna doba počas ktorej predávajúci vlastní obchodné podiely a akcie, napr. 12 alebo 24 mesiacov, </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 xml:space="preserve">• podmienka, aby miesto efektívneho riadenia takejto investície bolo zo spoločnosti v SR, ktorá túto investíciu aj právne vlastní (nemá teda ísť o investorov tzv. „schránkové firmy“ bez výkonu riadenia investície výlučne za účelom uplatnenia výhodného režimu zdaňovania ziskov z predaja, čo je aj v súlade s akčným plánom BEPS). </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 Zavedenie uvedeného opatrenia vyžaduje dôslednú analýzu a odbornú diskusiu.</w:t>
            </w:r>
          </w:p>
          <w:p w:rsidR="00D9699A" w:rsidRPr="004B5CAD" w:rsidRDefault="00D9699A" w:rsidP="00B53A81">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lastRenderedPageBreak/>
              <w:t>17.</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Administratívna záťaž mesačného predkladania prehľadov</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rPr>
              <w:t>V súčasnosti zákon o dani z príjmov ukladá zamestnávateľom, ktorí sú platiteľmi dane z príjmov, povinnosť predložiť miestne príslušnému správcovi dane prehľad o zrazených a odvedených preddavkoch na daň z príjmov zo závislej činnosti, o zamestnaneckej prémii a o daňovom bonuse, a to do konca kalendárneho mesiaca nasledujúceho po uplynutí kalendárneho mesiaca, za ktorý sa prehľad podáva. Pri súčasnom počte platiteľov dane ako i miere vyťaženia príslušných správcov dane možno len ťažko očakávať, že správca dane sa bude dôkladne zaoberať každým prehľadom o zrazených a odvedených preddavkoch na daň, ktoré od platiteľov dane obdrží. Pravidelnosť predkladania hlásenia tak vytvára nadmernú administratívnu záťaž jednak na strane podnikateľského prostredia, jednak na strane verejnej správy, čím dochádza k zníženiu zákonodarcom zamýšľanej efektivity. Navyše pri omeškaní sa hrozí pokuta až do výšky 3.000 Eur. V minulosti mali podnikatelia rovnakú povinnosť vždy štvrťročne. Údaje uvádzané v prehľade o zrazených a odvedených preddavkoch na daň sa správcovi dane nahlasujú tiež ročne, čím dochádza k zbytočnej duplicite. SBA žiada, za účelom odstránenia zbytočnej byrokratickej záťaže, ktorá je navyše duplicitnou povinnosťou, úpravu, podľa ktorej by sa podával do konca kalendárneho mesiaca nasledujúceho po kalendárnom štvrťroku, za ktorý sa prehľad podáva.</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Navrhovaná úprava je nad rámec návrhu zákona.</w:t>
            </w:r>
          </w:p>
          <w:p w:rsidR="00D9699A" w:rsidRPr="004B5CAD" w:rsidRDefault="00D9699A" w:rsidP="00B53A81">
            <w:pPr>
              <w:widowControl/>
              <w:spacing w:after="0" w:line="240" w:lineRule="auto"/>
              <w:jc w:val="both"/>
              <w:rPr>
                <w:rFonts w:ascii="Times New Roman" w:hAnsi="Times New Roman"/>
                <w:sz w:val="24"/>
                <w:szCs w:val="24"/>
                <w:lang w:val="sk-SK"/>
              </w:rPr>
            </w:pPr>
            <w:r w:rsidRPr="004B5CAD">
              <w:rPr>
                <w:rFonts w:ascii="Times New Roman" w:hAnsi="Times New Roman"/>
                <w:b/>
                <w:sz w:val="24"/>
                <w:szCs w:val="24"/>
                <w:lang w:val="sk-SK"/>
              </w:rPr>
              <w:t>Rozpor trvá.</w:t>
            </w:r>
          </w:p>
        </w:tc>
      </w:tr>
      <w:tr w:rsidR="00B53A81" w:rsidRPr="004B5CAD" w:rsidTr="004B5CAD">
        <w:tc>
          <w:tcPr>
            <w:tcW w:w="297" w:type="pct"/>
          </w:tcPr>
          <w:p w:rsidR="00B53A81" w:rsidRPr="004B5CAD" w:rsidRDefault="00B53A81" w:rsidP="00B53A81">
            <w:pPr>
              <w:widowControl/>
              <w:spacing w:after="0" w:line="240" w:lineRule="auto"/>
              <w:jc w:val="center"/>
              <w:rPr>
                <w:rFonts w:ascii="Times New Roman" w:hAnsi="Times New Roman"/>
                <w:b/>
                <w:sz w:val="24"/>
                <w:szCs w:val="24"/>
              </w:rPr>
            </w:pPr>
            <w:r w:rsidRPr="004B5CAD">
              <w:rPr>
                <w:rFonts w:ascii="Times New Roman" w:hAnsi="Times New Roman"/>
                <w:b/>
                <w:sz w:val="24"/>
                <w:szCs w:val="24"/>
              </w:rPr>
              <w:t>18.</w:t>
            </w:r>
          </w:p>
        </w:tc>
        <w:tc>
          <w:tcPr>
            <w:tcW w:w="440" w:type="pct"/>
          </w:tcPr>
          <w:p w:rsidR="00B53A81" w:rsidRPr="004B5CAD" w:rsidRDefault="00B53A81" w:rsidP="00B53A81">
            <w:pPr>
              <w:widowControl/>
              <w:spacing w:after="0" w:line="240" w:lineRule="auto"/>
              <w:jc w:val="both"/>
              <w:rPr>
                <w:rFonts w:ascii="Times New Roman" w:hAnsi="Times New Roman"/>
                <w:b/>
                <w:sz w:val="24"/>
                <w:szCs w:val="24"/>
              </w:rPr>
            </w:pPr>
            <w:r w:rsidRPr="004B5CAD">
              <w:rPr>
                <w:rFonts w:ascii="Times New Roman" w:hAnsi="Times New Roman"/>
                <w:b/>
                <w:sz w:val="24"/>
                <w:szCs w:val="24"/>
              </w:rPr>
              <w:t>SBA</w:t>
            </w:r>
          </w:p>
        </w:tc>
        <w:tc>
          <w:tcPr>
            <w:tcW w:w="2376" w:type="pct"/>
          </w:tcPr>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Definícia „iného prepojenia“ pri transferovom oceňovaní</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sz w:val="24"/>
                <w:szCs w:val="24"/>
                <w:lang w:val="sk-SK"/>
              </w:rPr>
              <w:t xml:space="preserve">SBA žiada o prijatie exaktnejšej definície pojmu „iné prepojenie“ na účely zadefinovania závislej osoby, pre obchody s ktorou je daňový subjekt povinný dodržiavať rozsiahle ustanovenia o transferovom oceňovaní a okrem toho žiada o obmedzenie rozsahu povinností v rámci transferového oceňovania vzhľadom na typ daňového subjektu, napríklad tak, ako to predpokladá usmernenie Ministerstva financií Slovenskej republiky o určení obsahu dokumentácie. </w:t>
            </w:r>
          </w:p>
        </w:tc>
        <w:tc>
          <w:tcPr>
            <w:tcW w:w="316" w:type="pct"/>
          </w:tcPr>
          <w:p w:rsidR="00B53A81" w:rsidRPr="004B5CAD" w:rsidRDefault="00B53A81" w:rsidP="00B53A81">
            <w:pPr>
              <w:widowControl/>
              <w:spacing w:after="0" w:line="240" w:lineRule="auto"/>
              <w:jc w:val="center"/>
              <w:rPr>
                <w:rFonts w:ascii="Times New Roman" w:hAnsi="Times New Roman"/>
                <w:b/>
                <w:sz w:val="24"/>
                <w:szCs w:val="24"/>
                <w:lang w:val="sk-SK"/>
              </w:rPr>
            </w:pPr>
            <w:r w:rsidRPr="004B5CAD">
              <w:rPr>
                <w:rFonts w:ascii="Times New Roman" w:hAnsi="Times New Roman"/>
                <w:b/>
                <w:sz w:val="24"/>
                <w:szCs w:val="24"/>
                <w:lang w:val="sk-SK"/>
              </w:rPr>
              <w:t>Z</w:t>
            </w:r>
          </w:p>
        </w:tc>
        <w:tc>
          <w:tcPr>
            <w:tcW w:w="1571" w:type="pct"/>
          </w:tcPr>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Toto nie je pripomienka ku konkrétnemu bodu novely zákona ale všeobecne k nastavenému procesu transferového oceňovania v SR.</w:t>
            </w:r>
          </w:p>
          <w:p w:rsidR="00B53A81" w:rsidRPr="004B5CAD" w:rsidRDefault="00B53A81" w:rsidP="00B53A81">
            <w:pPr>
              <w:widowControl/>
              <w:spacing w:after="0" w:line="240" w:lineRule="auto"/>
              <w:jc w:val="both"/>
              <w:rPr>
                <w:rFonts w:ascii="Times New Roman" w:hAnsi="Times New Roman"/>
                <w:sz w:val="24"/>
                <w:szCs w:val="24"/>
                <w:lang w:val="sk-SK"/>
              </w:rPr>
            </w:pPr>
            <w:r w:rsidRPr="004B5CAD">
              <w:rPr>
                <w:rFonts w:ascii="Times New Roman" w:hAnsi="Times New Roman"/>
                <w:sz w:val="24"/>
                <w:szCs w:val="24"/>
                <w:lang w:val="sk-SK"/>
              </w:rPr>
              <w:t>Definícia iného prepojenia sa už aj v súčasnosti nachádza v platnom znení zákona.</w:t>
            </w:r>
          </w:p>
          <w:p w:rsidR="00B53A81" w:rsidRPr="004B5CAD" w:rsidRDefault="00B53A81" w:rsidP="00B53A81">
            <w:pPr>
              <w:widowControl/>
              <w:spacing w:after="0" w:line="240" w:lineRule="auto"/>
              <w:jc w:val="both"/>
              <w:rPr>
                <w:rFonts w:ascii="Times New Roman" w:hAnsi="Times New Roman"/>
                <w:b/>
                <w:sz w:val="24"/>
                <w:szCs w:val="24"/>
                <w:lang w:val="sk-SK"/>
              </w:rPr>
            </w:pPr>
            <w:r w:rsidRPr="004B5CAD">
              <w:rPr>
                <w:rFonts w:ascii="Times New Roman" w:hAnsi="Times New Roman"/>
                <w:b/>
                <w:sz w:val="24"/>
                <w:szCs w:val="24"/>
                <w:lang w:val="sk-SK"/>
              </w:rPr>
              <w:t>Rozpor trvá.</w:t>
            </w:r>
          </w:p>
        </w:tc>
      </w:tr>
    </w:tbl>
    <w:p w:rsidR="000E0D8B" w:rsidRPr="00FB48ED" w:rsidRDefault="000E0D8B" w:rsidP="002055BD">
      <w:pPr>
        <w:widowControl/>
        <w:spacing w:after="0" w:line="240" w:lineRule="auto"/>
        <w:jc w:val="both"/>
        <w:rPr>
          <w:rFonts w:ascii="Times New Roman" w:hAnsi="Times New Roman"/>
          <w:sz w:val="24"/>
          <w:szCs w:val="24"/>
          <w:lang w:val="sk-SK"/>
        </w:rPr>
      </w:pPr>
    </w:p>
    <w:tbl>
      <w:tblPr>
        <w:tblW w:w="0" w:type="auto"/>
        <w:tblLook w:val="0000" w:firstRow="0" w:lastRow="0" w:firstColumn="0" w:lastColumn="0" w:noHBand="0" w:noVBand="0"/>
      </w:tblPr>
      <w:tblGrid>
        <w:gridCol w:w="4928"/>
      </w:tblGrid>
      <w:tr w:rsidR="00492543" w:rsidRPr="00FB48ED">
        <w:tc>
          <w:tcPr>
            <w:tcW w:w="4928" w:type="dxa"/>
            <w:tcBorders>
              <w:top w:val="nil"/>
              <w:left w:val="nil"/>
              <w:bottom w:val="nil"/>
              <w:right w:val="nil"/>
            </w:tcBorders>
          </w:tcPr>
          <w:p w:rsidR="009B7AF5" w:rsidRPr="004B5CAD" w:rsidRDefault="00A46DD7" w:rsidP="002055BD">
            <w:pPr>
              <w:pStyle w:val="Zkladntext"/>
              <w:widowControl/>
              <w:jc w:val="both"/>
              <w:rPr>
                <w:color w:val="000000"/>
                <w:sz w:val="24"/>
                <w:szCs w:val="24"/>
              </w:rPr>
            </w:pPr>
            <w:r w:rsidRPr="00FB48ED">
              <w:rPr>
                <w:color w:val="000000"/>
                <w:sz w:val="24"/>
                <w:szCs w:val="24"/>
              </w:rPr>
              <w:lastRenderedPageBreak/>
              <w:t xml:space="preserve">Vysvetlivky </w:t>
            </w:r>
            <w:r w:rsidR="00492543" w:rsidRPr="00FB48ED">
              <w:rPr>
                <w:color w:val="000000"/>
                <w:sz w:val="24"/>
                <w:szCs w:val="24"/>
              </w:rPr>
              <w:t>k použitým skratkám v tabuľke:</w:t>
            </w:r>
          </w:p>
        </w:tc>
      </w:tr>
    </w:tbl>
    <w:p w:rsidR="00EC66A7" w:rsidRPr="00FB48ED" w:rsidRDefault="00EC66A7" w:rsidP="002055BD">
      <w:pPr>
        <w:widowControl/>
        <w:spacing w:after="0" w:line="240" w:lineRule="auto"/>
        <w:jc w:val="both"/>
        <w:rPr>
          <w:rFonts w:ascii="Times New Roman" w:hAnsi="Times New Roman"/>
          <w:sz w:val="24"/>
          <w:szCs w:val="24"/>
          <w:lang w:val="sk-SK"/>
        </w:rPr>
      </w:pPr>
      <w:r w:rsidRPr="00FB48ED">
        <w:rPr>
          <w:rFonts w:ascii="Times New Roman" w:hAnsi="Times New Roman"/>
          <w:sz w:val="24"/>
          <w:szCs w:val="24"/>
          <w:lang w:val="sk-SK"/>
        </w:rPr>
        <w:t>AZZZ SR - Asociácia zamestnávateľských zväzov a združení SR</w:t>
      </w:r>
    </w:p>
    <w:p w:rsidR="004B5CAD" w:rsidRDefault="004B5CAD" w:rsidP="004B5C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MK SR – Ministerstvo kultúry SR</w:t>
      </w:r>
    </w:p>
    <w:p w:rsidR="004B5CAD" w:rsidRPr="00FB48ED" w:rsidRDefault="004B5CAD" w:rsidP="004B5C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NBS – Národná banka Slovenska</w:t>
      </w:r>
    </w:p>
    <w:p w:rsidR="004B5CAD" w:rsidRDefault="004B5CAD" w:rsidP="004B5CAD">
      <w:pPr>
        <w:widowControl/>
        <w:spacing w:after="0" w:line="240" w:lineRule="auto"/>
        <w:jc w:val="both"/>
        <w:rPr>
          <w:rFonts w:ascii="Times New Roman" w:hAnsi="Times New Roman"/>
          <w:sz w:val="24"/>
          <w:szCs w:val="24"/>
          <w:lang w:val="sk-SK"/>
        </w:rPr>
      </w:pPr>
      <w:r w:rsidRPr="00FB48ED">
        <w:rPr>
          <w:rFonts w:ascii="Times New Roman" w:hAnsi="Times New Roman"/>
          <w:sz w:val="24"/>
          <w:szCs w:val="24"/>
          <w:lang w:val="sk-SK"/>
        </w:rPr>
        <w:t>RUZ - Republiková únia zamestnávateľov</w:t>
      </w:r>
    </w:p>
    <w:p w:rsidR="004B5CAD" w:rsidRDefault="004B5CAD" w:rsidP="004B5C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SBA – Slovak business agency</w:t>
      </w:r>
    </w:p>
    <w:p w:rsidR="004B5CAD" w:rsidRDefault="004B5CAD" w:rsidP="004B5CAD">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ZAP SR – Združenie automobilového priemyslu SR</w:t>
      </w:r>
    </w:p>
    <w:p w:rsidR="004B5CAD" w:rsidRPr="00FB48ED" w:rsidRDefault="004B5CAD" w:rsidP="004B5CAD">
      <w:pPr>
        <w:widowControl/>
        <w:spacing w:after="0" w:line="240" w:lineRule="auto"/>
        <w:jc w:val="both"/>
        <w:rPr>
          <w:rFonts w:ascii="Times New Roman" w:hAnsi="Times New Roman"/>
          <w:sz w:val="24"/>
          <w:szCs w:val="24"/>
          <w:lang w:val="sk-SK"/>
        </w:rPr>
      </w:pPr>
    </w:p>
    <w:p w:rsidR="004B5CAD" w:rsidRDefault="004B5CAD" w:rsidP="002055BD">
      <w:pPr>
        <w:widowControl/>
        <w:spacing w:after="0" w:line="240" w:lineRule="auto"/>
        <w:jc w:val="both"/>
        <w:rPr>
          <w:rFonts w:ascii="Times New Roman" w:hAnsi="Times New Roman"/>
          <w:sz w:val="24"/>
          <w:szCs w:val="24"/>
          <w:lang w:val="sk-SK"/>
        </w:rPr>
      </w:pPr>
    </w:p>
    <w:p w:rsidR="004B5CAD" w:rsidRPr="00FB48ED" w:rsidRDefault="004B5CAD">
      <w:pPr>
        <w:widowControl/>
        <w:spacing w:after="0" w:line="240" w:lineRule="auto"/>
        <w:jc w:val="both"/>
        <w:rPr>
          <w:rFonts w:ascii="Times New Roman" w:hAnsi="Times New Roman"/>
          <w:sz w:val="24"/>
          <w:szCs w:val="24"/>
          <w:lang w:val="sk-SK"/>
        </w:rPr>
      </w:pPr>
    </w:p>
    <w:sectPr w:rsidR="004B5CAD" w:rsidRPr="00FB48ED"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464817" w:rsidRPr="00464817">
          <w:rPr>
            <w:noProof/>
            <w:lang w:val="sk-SK"/>
          </w:rPr>
          <w:t>2</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3D5F"/>
    <w:rsid w:val="00024D20"/>
    <w:rsid w:val="000279D2"/>
    <w:rsid w:val="0005161F"/>
    <w:rsid w:val="00054B9D"/>
    <w:rsid w:val="000663CF"/>
    <w:rsid w:val="00070909"/>
    <w:rsid w:val="00084333"/>
    <w:rsid w:val="00084BDE"/>
    <w:rsid w:val="00087612"/>
    <w:rsid w:val="000A0A20"/>
    <w:rsid w:val="000A2566"/>
    <w:rsid w:val="000B0C82"/>
    <w:rsid w:val="000E0D8B"/>
    <w:rsid w:val="000E6BA7"/>
    <w:rsid w:val="000F4DAF"/>
    <w:rsid w:val="00112D54"/>
    <w:rsid w:val="00116D18"/>
    <w:rsid w:val="001575B2"/>
    <w:rsid w:val="00167943"/>
    <w:rsid w:val="001710A4"/>
    <w:rsid w:val="00184F62"/>
    <w:rsid w:val="001861FF"/>
    <w:rsid w:val="00194B7B"/>
    <w:rsid w:val="001977D3"/>
    <w:rsid w:val="001A0F99"/>
    <w:rsid w:val="001B00C4"/>
    <w:rsid w:val="001B619E"/>
    <w:rsid w:val="001C1EC9"/>
    <w:rsid w:val="001C4410"/>
    <w:rsid w:val="001D20E3"/>
    <w:rsid w:val="001D279D"/>
    <w:rsid w:val="001E2E47"/>
    <w:rsid w:val="002055BD"/>
    <w:rsid w:val="00205D5F"/>
    <w:rsid w:val="00216C6B"/>
    <w:rsid w:val="0021797E"/>
    <w:rsid w:val="00224FFB"/>
    <w:rsid w:val="002432FF"/>
    <w:rsid w:val="002527E4"/>
    <w:rsid w:val="0026446B"/>
    <w:rsid w:val="00284796"/>
    <w:rsid w:val="0028487F"/>
    <w:rsid w:val="00291BC3"/>
    <w:rsid w:val="002A7D66"/>
    <w:rsid w:val="002E5BFC"/>
    <w:rsid w:val="002E5D7A"/>
    <w:rsid w:val="002F59D5"/>
    <w:rsid w:val="00331950"/>
    <w:rsid w:val="00357B58"/>
    <w:rsid w:val="00357FE8"/>
    <w:rsid w:val="003711C8"/>
    <w:rsid w:val="003716C6"/>
    <w:rsid w:val="0037389A"/>
    <w:rsid w:val="003877F7"/>
    <w:rsid w:val="003944C2"/>
    <w:rsid w:val="003B17A7"/>
    <w:rsid w:val="003B3DD2"/>
    <w:rsid w:val="003C2587"/>
    <w:rsid w:val="003D01DF"/>
    <w:rsid w:val="003D51E0"/>
    <w:rsid w:val="003E28EE"/>
    <w:rsid w:val="003E3B2D"/>
    <w:rsid w:val="003E4537"/>
    <w:rsid w:val="003F1278"/>
    <w:rsid w:val="004066B3"/>
    <w:rsid w:val="00422451"/>
    <w:rsid w:val="00431E6F"/>
    <w:rsid w:val="004461DF"/>
    <w:rsid w:val="00464817"/>
    <w:rsid w:val="00466486"/>
    <w:rsid w:val="00492543"/>
    <w:rsid w:val="004B5CAD"/>
    <w:rsid w:val="004C7F22"/>
    <w:rsid w:val="004D2440"/>
    <w:rsid w:val="00505532"/>
    <w:rsid w:val="00547360"/>
    <w:rsid w:val="00555C46"/>
    <w:rsid w:val="005678B7"/>
    <w:rsid w:val="00581D66"/>
    <w:rsid w:val="005A193F"/>
    <w:rsid w:val="005A29D5"/>
    <w:rsid w:val="005E3AE0"/>
    <w:rsid w:val="005F0096"/>
    <w:rsid w:val="005F47EF"/>
    <w:rsid w:val="006024E6"/>
    <w:rsid w:val="0062367E"/>
    <w:rsid w:val="00673458"/>
    <w:rsid w:val="00674684"/>
    <w:rsid w:val="006872DE"/>
    <w:rsid w:val="006A54C6"/>
    <w:rsid w:val="006E76F7"/>
    <w:rsid w:val="006F3F7E"/>
    <w:rsid w:val="00701DA6"/>
    <w:rsid w:val="007049CF"/>
    <w:rsid w:val="00714DCD"/>
    <w:rsid w:val="00736FF1"/>
    <w:rsid w:val="00761299"/>
    <w:rsid w:val="00775860"/>
    <w:rsid w:val="00776F80"/>
    <w:rsid w:val="007B7B6B"/>
    <w:rsid w:val="007C5B46"/>
    <w:rsid w:val="007D14F5"/>
    <w:rsid w:val="007D39B3"/>
    <w:rsid w:val="007D55DB"/>
    <w:rsid w:val="007F5206"/>
    <w:rsid w:val="007F5918"/>
    <w:rsid w:val="00812446"/>
    <w:rsid w:val="00836C81"/>
    <w:rsid w:val="00843E86"/>
    <w:rsid w:val="00856FFA"/>
    <w:rsid w:val="0086784B"/>
    <w:rsid w:val="008A0DCB"/>
    <w:rsid w:val="008A1F67"/>
    <w:rsid w:val="008A53FC"/>
    <w:rsid w:val="008A5B11"/>
    <w:rsid w:val="008B48AF"/>
    <w:rsid w:val="008B6E00"/>
    <w:rsid w:val="008B7534"/>
    <w:rsid w:val="008E5435"/>
    <w:rsid w:val="00902A29"/>
    <w:rsid w:val="00910E7D"/>
    <w:rsid w:val="00914FA1"/>
    <w:rsid w:val="009178E0"/>
    <w:rsid w:val="0094770B"/>
    <w:rsid w:val="009514E4"/>
    <w:rsid w:val="00962B30"/>
    <w:rsid w:val="00967E0B"/>
    <w:rsid w:val="00984FB1"/>
    <w:rsid w:val="00992683"/>
    <w:rsid w:val="009B26AD"/>
    <w:rsid w:val="009B7AF5"/>
    <w:rsid w:val="009E641C"/>
    <w:rsid w:val="00A102AC"/>
    <w:rsid w:val="00A269B0"/>
    <w:rsid w:val="00A46DD7"/>
    <w:rsid w:val="00A554D7"/>
    <w:rsid w:val="00A63365"/>
    <w:rsid w:val="00A707B7"/>
    <w:rsid w:val="00A81B86"/>
    <w:rsid w:val="00A94106"/>
    <w:rsid w:val="00A9719C"/>
    <w:rsid w:val="00AA1F76"/>
    <w:rsid w:val="00AB24C4"/>
    <w:rsid w:val="00AC5C41"/>
    <w:rsid w:val="00AE2EE7"/>
    <w:rsid w:val="00AF1774"/>
    <w:rsid w:val="00AF58FC"/>
    <w:rsid w:val="00B13E45"/>
    <w:rsid w:val="00B239FB"/>
    <w:rsid w:val="00B247B9"/>
    <w:rsid w:val="00B4591E"/>
    <w:rsid w:val="00B53A81"/>
    <w:rsid w:val="00B53BCB"/>
    <w:rsid w:val="00B8045D"/>
    <w:rsid w:val="00B82ACD"/>
    <w:rsid w:val="00BA5C58"/>
    <w:rsid w:val="00BB436D"/>
    <w:rsid w:val="00BC11CF"/>
    <w:rsid w:val="00C06F61"/>
    <w:rsid w:val="00C07FD0"/>
    <w:rsid w:val="00C202C8"/>
    <w:rsid w:val="00C23329"/>
    <w:rsid w:val="00C25957"/>
    <w:rsid w:val="00C2770F"/>
    <w:rsid w:val="00C35D8B"/>
    <w:rsid w:val="00C524F2"/>
    <w:rsid w:val="00C80620"/>
    <w:rsid w:val="00C87B0E"/>
    <w:rsid w:val="00C9459E"/>
    <w:rsid w:val="00CA60C8"/>
    <w:rsid w:val="00CB31B0"/>
    <w:rsid w:val="00CB49E0"/>
    <w:rsid w:val="00CD3C2A"/>
    <w:rsid w:val="00CD54A5"/>
    <w:rsid w:val="00CE08C8"/>
    <w:rsid w:val="00D14A57"/>
    <w:rsid w:val="00D158C2"/>
    <w:rsid w:val="00D17050"/>
    <w:rsid w:val="00D42EC7"/>
    <w:rsid w:val="00D5154C"/>
    <w:rsid w:val="00D73398"/>
    <w:rsid w:val="00D9699A"/>
    <w:rsid w:val="00DA4DBA"/>
    <w:rsid w:val="00DB178E"/>
    <w:rsid w:val="00DF21BF"/>
    <w:rsid w:val="00E233F9"/>
    <w:rsid w:val="00E349AE"/>
    <w:rsid w:val="00E520BE"/>
    <w:rsid w:val="00E84FB1"/>
    <w:rsid w:val="00E86254"/>
    <w:rsid w:val="00E928BA"/>
    <w:rsid w:val="00E976F3"/>
    <w:rsid w:val="00EA20B8"/>
    <w:rsid w:val="00EA20B9"/>
    <w:rsid w:val="00EA7489"/>
    <w:rsid w:val="00EC656F"/>
    <w:rsid w:val="00EC66A7"/>
    <w:rsid w:val="00ED0724"/>
    <w:rsid w:val="00ED22F0"/>
    <w:rsid w:val="00F118FF"/>
    <w:rsid w:val="00F1317F"/>
    <w:rsid w:val="00F36E0D"/>
    <w:rsid w:val="00F37D44"/>
    <w:rsid w:val="00F41036"/>
    <w:rsid w:val="00F41B6B"/>
    <w:rsid w:val="00F57838"/>
    <w:rsid w:val="00F747F6"/>
    <w:rsid w:val="00F754B6"/>
    <w:rsid w:val="00F76EF4"/>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2C3F-F179-4499-B3E1-6929B7F1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15300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Vidova Michaela</cp:lastModifiedBy>
  <cp:revision>2</cp:revision>
  <cp:lastPrinted>2016-08-04T10:12:00Z</cp:lastPrinted>
  <dcterms:created xsi:type="dcterms:W3CDTF">2016-08-04T10:50:00Z</dcterms:created>
  <dcterms:modified xsi:type="dcterms:W3CDTF">2016-08-04T10:50:00Z</dcterms:modified>
</cp:coreProperties>
</file>