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68" w:rsidRDefault="00780168" w:rsidP="00293AD5">
      <w:pPr>
        <w:jc w:val="center"/>
        <w:rPr>
          <w:b/>
        </w:rPr>
      </w:pPr>
      <w:r>
        <w:rPr>
          <w:b/>
        </w:rPr>
        <w:t>Dôvodová správa</w:t>
      </w:r>
    </w:p>
    <w:p w:rsidR="00780168" w:rsidRDefault="00780168" w:rsidP="00293AD5">
      <w:pPr>
        <w:jc w:val="center"/>
        <w:rPr>
          <w:b/>
        </w:rPr>
      </w:pPr>
    </w:p>
    <w:p w:rsidR="00780168" w:rsidRDefault="00780168" w:rsidP="00293AD5">
      <w:pPr>
        <w:jc w:val="both"/>
        <w:rPr>
          <w:b/>
        </w:rPr>
      </w:pPr>
    </w:p>
    <w:p w:rsidR="00780168" w:rsidRDefault="00780168" w:rsidP="00293AD5">
      <w:pPr>
        <w:jc w:val="both"/>
        <w:rPr>
          <w:b/>
        </w:rPr>
      </w:pPr>
    </w:p>
    <w:p w:rsidR="00780168" w:rsidRDefault="00780168" w:rsidP="00293AD5">
      <w:pPr>
        <w:jc w:val="both"/>
        <w:rPr>
          <w:b/>
        </w:rPr>
      </w:pPr>
      <w:r w:rsidRPr="00780168">
        <w:rPr>
          <w:b/>
        </w:rPr>
        <w:t>A.</w:t>
      </w:r>
      <w:r>
        <w:rPr>
          <w:b/>
        </w:rPr>
        <w:t xml:space="preserve"> Všeobecná časť</w:t>
      </w:r>
    </w:p>
    <w:p w:rsidR="00780168" w:rsidRPr="001A6627" w:rsidRDefault="00780168" w:rsidP="00293AD5">
      <w:pPr>
        <w:jc w:val="both"/>
        <w:rPr>
          <w:b/>
        </w:rPr>
      </w:pPr>
    </w:p>
    <w:p w:rsidR="00E231AC" w:rsidRPr="001A6627" w:rsidRDefault="00780168" w:rsidP="00293AD5">
      <w:pPr>
        <w:jc w:val="both"/>
        <w:rPr>
          <w:b/>
        </w:rPr>
      </w:pPr>
      <w:r w:rsidRPr="001A6627">
        <w:rPr>
          <w:b/>
        </w:rPr>
        <w:tab/>
      </w:r>
    </w:p>
    <w:p w:rsidR="00D15F2E" w:rsidRPr="00C4195C" w:rsidRDefault="006566B3" w:rsidP="00D15F2E">
      <w:pPr>
        <w:jc w:val="both"/>
        <w:rPr>
          <w:b/>
        </w:rPr>
      </w:pPr>
      <w:r w:rsidRPr="001A6627">
        <w:tab/>
      </w:r>
      <w:r w:rsidR="00AE26DB" w:rsidRPr="00C4195C">
        <w:t xml:space="preserve">Od prijatia právnej úpravy </w:t>
      </w:r>
      <w:r w:rsidR="00DF45EC" w:rsidRPr="00C4195C">
        <w:t>zvyšovania</w:t>
      </w:r>
      <w:r w:rsidR="00AE26DB" w:rsidRPr="00C4195C">
        <w:t xml:space="preserve"> dôchodkov v roku 2012 </w:t>
      </w:r>
      <w:r w:rsidR="00DE6FB2" w:rsidRPr="00C4195C">
        <w:t>sa p</w:t>
      </w:r>
      <w:r w:rsidR="00AE26DB" w:rsidRPr="00C4195C">
        <w:t xml:space="preserve">ercento </w:t>
      </w:r>
      <w:r w:rsidR="00A44EBD" w:rsidRPr="00C4195C">
        <w:t xml:space="preserve">určujúce pevnú sumu </w:t>
      </w:r>
      <w:r w:rsidR="00AE26DB" w:rsidRPr="00C4195C">
        <w:t>zvýšenia príslušného</w:t>
      </w:r>
      <w:r w:rsidR="00F000F7" w:rsidRPr="00C4195C">
        <w:t xml:space="preserve"> druhu dôchodku </w:t>
      </w:r>
      <w:r w:rsidR="00FB6EFE" w:rsidRPr="00C4195C">
        <w:t xml:space="preserve">do roku 2017 </w:t>
      </w:r>
      <w:r w:rsidR="00F000F7" w:rsidRPr="00C4195C">
        <w:t>vypočíta</w:t>
      </w:r>
      <w:r w:rsidR="00AE26DB" w:rsidRPr="00C4195C">
        <w:t>va</w:t>
      </w:r>
      <w:r w:rsidR="00F000F7" w:rsidRPr="00C4195C">
        <w:t xml:space="preserve"> ako súčet  medziročného rastu spotrebiteľských cien a medziročného rastu priemernej mesačnej mzdy</w:t>
      </w:r>
      <w:r w:rsidR="00DE6FB2" w:rsidRPr="00C4195C">
        <w:t>.</w:t>
      </w:r>
      <w:r w:rsidR="001E62E7" w:rsidRPr="00C4195C">
        <w:t xml:space="preserve"> </w:t>
      </w:r>
      <w:r w:rsidR="00D15F2E" w:rsidRPr="00C4195C">
        <w:t xml:space="preserve">Súčasný vývoj makroekonomického prostredia, ktorý je značne poznačený stagnáciou či dokonca poklesom cien, však vedie k príliš </w:t>
      </w:r>
      <w:r w:rsidR="00DF45EC" w:rsidRPr="00C4195C">
        <w:t xml:space="preserve">nízkemu zvyšovaniu </w:t>
      </w:r>
      <w:r w:rsidR="00D15F2E" w:rsidRPr="00C4195C">
        <w:t xml:space="preserve"> dôchodkov</w:t>
      </w:r>
      <w:r w:rsidR="003018C6" w:rsidRPr="00C4195C">
        <w:t>.</w:t>
      </w:r>
    </w:p>
    <w:p w:rsidR="001C661D" w:rsidRPr="00C4195C" w:rsidRDefault="001C661D" w:rsidP="001A6627">
      <w:pPr>
        <w:jc w:val="both"/>
      </w:pPr>
    </w:p>
    <w:p w:rsidR="001A6627" w:rsidRPr="00C4195C" w:rsidRDefault="004C03EF" w:rsidP="0060552B">
      <w:pPr>
        <w:ind w:firstLine="708"/>
        <w:jc w:val="both"/>
      </w:pPr>
      <w:r w:rsidRPr="00C4195C">
        <w:t xml:space="preserve">Vláda </w:t>
      </w:r>
      <w:r w:rsidR="00D65192" w:rsidRPr="00C4195C">
        <w:t>Slovenskej republiky</w:t>
      </w:r>
      <w:r w:rsidRPr="00C4195C">
        <w:t xml:space="preserve"> pri prijímaní právnej úpravy </w:t>
      </w:r>
      <w:r w:rsidR="00DF45EC" w:rsidRPr="00C4195C">
        <w:t xml:space="preserve">zvyšovania </w:t>
      </w:r>
      <w:r w:rsidRPr="00C4195C">
        <w:t xml:space="preserve">dôchodkov </w:t>
      </w:r>
      <w:r w:rsidR="00FA7B3E" w:rsidRPr="00C4195C">
        <w:t xml:space="preserve">        </w:t>
      </w:r>
      <w:r w:rsidRPr="00C4195C">
        <w:t xml:space="preserve">v roku 2012 </w:t>
      </w:r>
      <w:r w:rsidR="00AF2AB9" w:rsidRPr="00C4195C">
        <w:t>deklarovala, že</w:t>
      </w:r>
      <w:r w:rsidRPr="00C4195C">
        <w:t xml:space="preserve"> v</w:t>
      </w:r>
      <w:r w:rsidR="00AF2AB9" w:rsidRPr="00C4195C">
        <w:t xml:space="preserve"> </w:t>
      </w:r>
      <w:r w:rsidRPr="00C4195C">
        <w:t xml:space="preserve">prípade </w:t>
      </w:r>
      <w:r w:rsidR="009D7904" w:rsidRPr="00C4195C">
        <w:t>prehlbovania</w:t>
      </w:r>
      <w:r w:rsidRPr="00C4195C">
        <w:t xml:space="preserve"> rozdiel</w:t>
      </w:r>
      <w:r w:rsidR="009D7904" w:rsidRPr="00C4195C">
        <w:t>u</w:t>
      </w:r>
      <w:r w:rsidRPr="00C4195C">
        <w:t xml:space="preserve"> medzi rastom spotrebiteľských cien a rastom priemernej mzdy v neprospech rastu spotrebiteľských cien, </w:t>
      </w:r>
      <w:r w:rsidR="006566B3" w:rsidRPr="00C4195C">
        <w:t>prehodnotí</w:t>
      </w:r>
      <w:r w:rsidRPr="00C4195C">
        <w:t xml:space="preserve"> spôsob zvyšovania dôchodkov.</w:t>
      </w:r>
      <w:r w:rsidR="001A6627" w:rsidRPr="00C4195C">
        <w:t xml:space="preserve"> </w:t>
      </w:r>
    </w:p>
    <w:p w:rsidR="001C661D" w:rsidRPr="00C4195C" w:rsidRDefault="001C661D" w:rsidP="001A6627">
      <w:pPr>
        <w:jc w:val="both"/>
        <w:rPr>
          <w:b/>
        </w:rPr>
      </w:pPr>
    </w:p>
    <w:p w:rsidR="00CC5EE2" w:rsidRPr="00927169" w:rsidRDefault="001A6627" w:rsidP="002F592F">
      <w:pPr>
        <w:jc w:val="both"/>
      </w:pPr>
      <w:r w:rsidRPr="00C4195C">
        <w:tab/>
      </w:r>
      <w:r w:rsidR="00C5160E" w:rsidRPr="00C4195C">
        <w:t xml:space="preserve"> </w:t>
      </w:r>
      <w:r w:rsidR="00D82392" w:rsidRPr="00C4195C">
        <w:t xml:space="preserve">V </w:t>
      </w:r>
      <w:r w:rsidR="00A32A4B" w:rsidRPr="00C4195C">
        <w:t xml:space="preserve"> nadväznosti </w:t>
      </w:r>
      <w:r w:rsidR="00F16D0E" w:rsidRPr="00C4195C">
        <w:t>na vyššie uvedené</w:t>
      </w:r>
      <w:r w:rsidR="00D066A2" w:rsidRPr="00C4195C">
        <w:t xml:space="preserve"> sa</w:t>
      </w:r>
      <w:r w:rsidR="00A32A4B" w:rsidRPr="00C4195C">
        <w:t xml:space="preserve"> </w:t>
      </w:r>
      <w:r w:rsidR="00D066A2" w:rsidRPr="00C4195C">
        <w:rPr>
          <w:bCs/>
          <w:iCs/>
        </w:rPr>
        <w:t>n</w:t>
      </w:r>
      <w:r w:rsidR="001C661D" w:rsidRPr="00C4195C">
        <w:rPr>
          <w:bCs/>
          <w:iCs/>
        </w:rPr>
        <w:t xml:space="preserve">avrhovanou právnou úpravou </w:t>
      </w:r>
      <w:r w:rsidR="005736C4" w:rsidRPr="00C4195C">
        <w:rPr>
          <w:bCs/>
          <w:iCs/>
        </w:rPr>
        <w:t xml:space="preserve">na rok 2017 </w:t>
      </w:r>
      <w:r w:rsidR="001C661D" w:rsidRPr="00C4195C">
        <w:rPr>
          <w:bCs/>
          <w:iCs/>
        </w:rPr>
        <w:t xml:space="preserve">ustanovuje </w:t>
      </w:r>
      <w:r w:rsidR="001C661D" w:rsidRPr="00C4195C">
        <w:t xml:space="preserve">minimálne percento </w:t>
      </w:r>
      <w:r w:rsidR="00A44EBD" w:rsidRPr="00C4195C">
        <w:t xml:space="preserve">určujúce pevnú sumu </w:t>
      </w:r>
      <w:r w:rsidR="00DF45EC" w:rsidRPr="00C4195C">
        <w:t>zvýšenia</w:t>
      </w:r>
      <w:r w:rsidR="0090172E" w:rsidRPr="00C4195C">
        <w:t>,</w:t>
      </w:r>
      <w:r w:rsidR="001C661D" w:rsidRPr="00C4195C">
        <w:t xml:space="preserve"> ktoré</w:t>
      </w:r>
      <w:r w:rsidR="00A57F9C" w:rsidRPr="00C4195C">
        <w:t xml:space="preserve"> bude predstavovať určitú garanciu primeranosti </w:t>
      </w:r>
      <w:r w:rsidR="0022245D" w:rsidRPr="00C4195C">
        <w:t xml:space="preserve">zvyšovania </w:t>
      </w:r>
      <w:r w:rsidR="00A57F9C" w:rsidRPr="00C4195C">
        <w:t>dôchodkových dávok</w:t>
      </w:r>
      <w:r w:rsidR="001735EC">
        <w:t xml:space="preserve"> </w:t>
      </w:r>
      <w:r w:rsidR="001735EC" w:rsidRPr="00927169">
        <w:t>(okrem vyrovnávacieho príplatku)</w:t>
      </w:r>
      <w:r w:rsidR="002A34D6" w:rsidRPr="00927169">
        <w:t>.</w:t>
      </w:r>
    </w:p>
    <w:p w:rsidR="002A34D6" w:rsidRPr="00C4195C" w:rsidRDefault="002A34D6" w:rsidP="002F592F">
      <w:pPr>
        <w:jc w:val="both"/>
      </w:pPr>
    </w:p>
    <w:p w:rsidR="00293AD5" w:rsidRPr="00E72FFB" w:rsidRDefault="000D2AFB" w:rsidP="00293AD5">
      <w:pPr>
        <w:ind w:firstLine="708"/>
        <w:jc w:val="both"/>
        <w:rPr>
          <w:lang w:eastAsia="sk-SK"/>
        </w:rPr>
      </w:pPr>
      <w:r w:rsidRPr="00C4195C">
        <w:rPr>
          <w:lang w:eastAsia="sk-SK"/>
        </w:rPr>
        <w:t>Z rovnakých dôvodov sa navrhuje ustan</w:t>
      </w:r>
      <w:r w:rsidR="003D01CD" w:rsidRPr="00C4195C">
        <w:rPr>
          <w:lang w:eastAsia="sk-SK"/>
        </w:rPr>
        <w:t>o</w:t>
      </w:r>
      <w:r w:rsidRPr="00C4195C">
        <w:rPr>
          <w:lang w:eastAsia="sk-SK"/>
        </w:rPr>
        <w:t>viť</w:t>
      </w:r>
      <w:r w:rsidR="003D01CD" w:rsidRPr="00C4195C">
        <w:rPr>
          <w:lang w:eastAsia="sk-SK"/>
        </w:rPr>
        <w:t xml:space="preserve"> tiež </w:t>
      </w:r>
      <w:r w:rsidR="00055C8E" w:rsidRPr="00C4195C">
        <w:rPr>
          <w:lang w:eastAsia="sk-SK"/>
        </w:rPr>
        <w:t>m</w:t>
      </w:r>
      <w:r w:rsidR="009F08EB" w:rsidRPr="00C4195C">
        <w:rPr>
          <w:lang w:eastAsia="sk-SK"/>
        </w:rPr>
        <w:t xml:space="preserve">inimálne percento </w:t>
      </w:r>
      <w:r w:rsidR="0023476D" w:rsidRPr="00C4195C">
        <w:t>zvýšenia</w:t>
      </w:r>
      <w:r w:rsidR="0023476D" w:rsidRPr="00C4195C">
        <w:rPr>
          <w:lang w:eastAsia="sk-SK"/>
        </w:rPr>
        <w:t xml:space="preserve"> </w:t>
      </w:r>
      <w:r w:rsidR="009F08EB" w:rsidRPr="00C4195C">
        <w:rPr>
          <w:lang w:eastAsia="sk-SK"/>
        </w:rPr>
        <w:t xml:space="preserve">úrazovej renty, </w:t>
      </w:r>
      <w:r w:rsidR="003D01CD" w:rsidRPr="00C4195C">
        <w:rPr>
          <w:lang w:eastAsia="sk-SK"/>
        </w:rPr>
        <w:t xml:space="preserve">ktorá sa </w:t>
      </w:r>
      <w:r w:rsidR="0023476D" w:rsidRPr="00C4195C">
        <w:t>zvyšuje</w:t>
      </w:r>
      <w:r w:rsidR="003D01CD" w:rsidRPr="00C4195C">
        <w:rPr>
          <w:lang w:eastAsia="sk-SK"/>
        </w:rPr>
        <w:t xml:space="preserve"> </w:t>
      </w:r>
      <w:r w:rsidR="00B2050D" w:rsidRPr="00C4195C">
        <w:rPr>
          <w:lang w:eastAsia="sk-SK"/>
        </w:rPr>
        <w:t>o </w:t>
      </w:r>
      <w:r w:rsidR="003D01CD" w:rsidRPr="00C4195C">
        <w:rPr>
          <w:lang w:eastAsia="sk-SK"/>
        </w:rPr>
        <w:t>percento</w:t>
      </w:r>
      <w:r w:rsidR="00B2050D" w:rsidRPr="00C4195C">
        <w:rPr>
          <w:lang w:eastAsia="sk-SK"/>
        </w:rPr>
        <w:t xml:space="preserve"> stanovené </w:t>
      </w:r>
      <w:r w:rsidR="004E3AEA" w:rsidRPr="00C4195C">
        <w:rPr>
          <w:lang w:eastAsia="sk-SK"/>
        </w:rPr>
        <w:t>rovnakým spôsobom</w:t>
      </w:r>
      <w:r w:rsidR="00B2050D" w:rsidRPr="00C4195C">
        <w:rPr>
          <w:lang w:eastAsia="sk-SK"/>
        </w:rPr>
        <w:t xml:space="preserve"> ako percento </w:t>
      </w:r>
      <w:r w:rsidR="00A44EBD" w:rsidRPr="00C4195C">
        <w:t xml:space="preserve">určujúce pevnú sumu </w:t>
      </w:r>
      <w:r w:rsidR="004E3AEA" w:rsidRPr="00E72FFB">
        <w:t>zvýšenia</w:t>
      </w:r>
      <w:r w:rsidR="004E3AEA" w:rsidRPr="00E72FFB">
        <w:rPr>
          <w:lang w:eastAsia="sk-SK"/>
        </w:rPr>
        <w:t xml:space="preserve"> </w:t>
      </w:r>
      <w:r w:rsidR="00055C8E" w:rsidRPr="00E72FFB">
        <w:rPr>
          <w:lang w:eastAsia="sk-SK"/>
        </w:rPr>
        <w:t>dôchodkových dávok.</w:t>
      </w:r>
    </w:p>
    <w:p w:rsidR="009F08EB" w:rsidRPr="00E72FFB" w:rsidRDefault="009F08EB" w:rsidP="00293AD5">
      <w:pPr>
        <w:ind w:firstLine="708"/>
        <w:jc w:val="both"/>
        <w:rPr>
          <w:rFonts w:eastAsia="Times New Roman"/>
          <w:lang w:eastAsia="sk-SK"/>
        </w:rPr>
      </w:pPr>
    </w:p>
    <w:p w:rsidR="00293AD5" w:rsidRDefault="002C7CA9" w:rsidP="00293AD5">
      <w:pPr>
        <w:ind w:firstLine="708"/>
        <w:jc w:val="both"/>
        <w:rPr>
          <w:rFonts w:eastAsia="Times New Roman"/>
          <w:lang w:eastAsia="en-US"/>
        </w:rPr>
      </w:pPr>
      <w:r w:rsidRPr="00B6700A">
        <w:rPr>
          <w:rFonts w:eastAsia="Times New Roman"/>
          <w:lang w:eastAsia="en-US"/>
        </w:rPr>
        <w:t>Vplyv</w:t>
      </w:r>
      <w:r>
        <w:rPr>
          <w:rFonts w:eastAsia="Times New Roman"/>
          <w:lang w:eastAsia="en-US"/>
        </w:rPr>
        <w:t>y</w:t>
      </w:r>
      <w:r w:rsidRPr="00B6700A">
        <w:rPr>
          <w:rFonts w:eastAsia="Times New Roman"/>
          <w:lang w:eastAsia="en-US"/>
        </w:rPr>
        <w:t xml:space="preserve"> návrhu zákona na rozpočet verejnej správy, na podnikateľské prostredie, </w:t>
      </w:r>
      <w:r>
        <w:rPr>
          <w:rFonts w:eastAsia="Times New Roman"/>
          <w:lang w:eastAsia="en-US"/>
        </w:rPr>
        <w:t xml:space="preserve"> sociálne vplyvy</w:t>
      </w:r>
      <w:r w:rsidRPr="00B6700A">
        <w:rPr>
          <w:rFonts w:eastAsia="Times New Roman"/>
          <w:lang w:eastAsia="en-US"/>
        </w:rPr>
        <w:t xml:space="preserve">, </w:t>
      </w:r>
      <w:r>
        <w:rPr>
          <w:rFonts w:eastAsia="Times New Roman"/>
          <w:lang w:eastAsia="en-US"/>
        </w:rPr>
        <w:t>v</w:t>
      </w:r>
      <w:r w:rsidRPr="00B6700A">
        <w:rPr>
          <w:rFonts w:eastAsia="Times New Roman"/>
          <w:lang w:eastAsia="en-US"/>
        </w:rPr>
        <w:t>plyv</w:t>
      </w:r>
      <w:r>
        <w:rPr>
          <w:rFonts w:eastAsia="Times New Roman"/>
          <w:lang w:eastAsia="en-US"/>
        </w:rPr>
        <w:t>y</w:t>
      </w:r>
      <w:r w:rsidRPr="00B6700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návrhu záko</w:t>
      </w:r>
      <w:r w:rsidRPr="00B6700A">
        <w:rPr>
          <w:rFonts w:eastAsia="Times New Roman"/>
          <w:lang w:eastAsia="en-US"/>
        </w:rPr>
        <w:t xml:space="preserve">na </w:t>
      </w:r>
      <w:r>
        <w:rPr>
          <w:rFonts w:eastAsia="Times New Roman"/>
          <w:lang w:eastAsia="en-US"/>
        </w:rPr>
        <w:t xml:space="preserve">na životné prostredie, </w:t>
      </w:r>
      <w:r w:rsidRPr="00B6700A">
        <w:rPr>
          <w:rFonts w:eastAsia="Times New Roman"/>
          <w:lang w:eastAsia="en-US"/>
        </w:rPr>
        <w:t xml:space="preserve">na informatizáciu spoločnosti </w:t>
      </w:r>
      <w:r>
        <w:rPr>
          <w:rFonts w:eastAsia="Times New Roman"/>
          <w:lang w:eastAsia="en-US"/>
        </w:rPr>
        <w:t xml:space="preserve"> a na služby verejnej správy pre občana sú uvedené </w:t>
      </w:r>
      <w:r w:rsidRPr="00B6700A">
        <w:rPr>
          <w:rFonts w:eastAsia="Times New Roman"/>
          <w:lang w:eastAsia="en-US"/>
        </w:rPr>
        <w:t>v doložke vybraných vplyvov.</w:t>
      </w:r>
    </w:p>
    <w:p w:rsidR="002C7CA9" w:rsidRDefault="002C7CA9" w:rsidP="00293AD5">
      <w:pPr>
        <w:ind w:firstLine="708"/>
        <w:jc w:val="both"/>
        <w:rPr>
          <w:rFonts w:eastAsia="Times New Roman"/>
          <w:lang w:eastAsia="sk-SK"/>
        </w:rPr>
      </w:pPr>
    </w:p>
    <w:p w:rsidR="007718FD" w:rsidRDefault="00293AD5" w:rsidP="00293AD5">
      <w:pPr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N</w:t>
      </w:r>
      <w:r w:rsidR="007718FD" w:rsidRPr="0041785C">
        <w:rPr>
          <w:rFonts w:eastAsia="Times New Roman"/>
          <w:lang w:eastAsia="sk-SK"/>
        </w:rPr>
        <w:t>ávrh zákona je v súlade s Ústavou Slovensk</w:t>
      </w:r>
      <w:r w:rsidR="00130D4B">
        <w:rPr>
          <w:rFonts w:eastAsia="Times New Roman"/>
          <w:lang w:eastAsia="sk-SK"/>
        </w:rPr>
        <w:t>ej republiky, ústavnými zákonmi</w:t>
      </w:r>
      <w:bookmarkStart w:id="0" w:name="_GoBack"/>
      <w:bookmarkEnd w:id="0"/>
      <w:r w:rsidR="007718FD" w:rsidRPr="0041785C">
        <w:rPr>
          <w:rFonts w:eastAsia="Times New Roman"/>
          <w:lang w:eastAsia="sk-SK"/>
        </w:rPr>
        <w:t>, ako aj s medzinárodnými zmluvami, ktorými je Slovenská republika viazaná a súčasne je v súlade aj s právom Európskej únie.</w:t>
      </w:r>
    </w:p>
    <w:p w:rsidR="00A56FCA" w:rsidRPr="00A56FCA" w:rsidRDefault="00A56FCA" w:rsidP="00CC5EE2">
      <w:pPr>
        <w:ind w:firstLine="708"/>
        <w:jc w:val="both"/>
      </w:pPr>
    </w:p>
    <w:sectPr w:rsidR="00A56FCA" w:rsidRPr="00A56FCA" w:rsidSect="007C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604"/>
    <w:multiLevelType w:val="hybridMultilevel"/>
    <w:tmpl w:val="6EB205E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71AA3"/>
    <w:multiLevelType w:val="hybridMultilevel"/>
    <w:tmpl w:val="8B98D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2C0"/>
    <w:multiLevelType w:val="hybridMultilevel"/>
    <w:tmpl w:val="4636DD72"/>
    <w:lvl w:ilvl="0" w:tplc="99A49D5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E1593D"/>
    <w:multiLevelType w:val="hybridMultilevel"/>
    <w:tmpl w:val="68CE40D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8"/>
    <w:rsid w:val="0000263F"/>
    <w:rsid w:val="000169C5"/>
    <w:rsid w:val="00027170"/>
    <w:rsid w:val="00055C8E"/>
    <w:rsid w:val="000603A2"/>
    <w:rsid w:val="000C183C"/>
    <w:rsid w:val="000D2AFB"/>
    <w:rsid w:val="000D7378"/>
    <w:rsid w:val="001239F7"/>
    <w:rsid w:val="00130D4B"/>
    <w:rsid w:val="00142F28"/>
    <w:rsid w:val="00156B07"/>
    <w:rsid w:val="001735EC"/>
    <w:rsid w:val="00174FCC"/>
    <w:rsid w:val="001923B1"/>
    <w:rsid w:val="001A6627"/>
    <w:rsid w:val="001C661D"/>
    <w:rsid w:val="001E62E7"/>
    <w:rsid w:val="0022245D"/>
    <w:rsid w:val="0023414D"/>
    <w:rsid w:val="0023476D"/>
    <w:rsid w:val="00282A9E"/>
    <w:rsid w:val="00293AD5"/>
    <w:rsid w:val="002A34D6"/>
    <w:rsid w:val="002C7CA9"/>
    <w:rsid w:val="002D7F23"/>
    <w:rsid w:val="002F17FC"/>
    <w:rsid w:val="002F478D"/>
    <w:rsid w:val="002F592F"/>
    <w:rsid w:val="003018C6"/>
    <w:rsid w:val="00305BA2"/>
    <w:rsid w:val="0033648C"/>
    <w:rsid w:val="00340EBC"/>
    <w:rsid w:val="003424FC"/>
    <w:rsid w:val="00343EA4"/>
    <w:rsid w:val="003710E8"/>
    <w:rsid w:val="003937D1"/>
    <w:rsid w:val="003950A2"/>
    <w:rsid w:val="003D01CD"/>
    <w:rsid w:val="003E7B78"/>
    <w:rsid w:val="0041785C"/>
    <w:rsid w:val="00425407"/>
    <w:rsid w:val="00426356"/>
    <w:rsid w:val="00431F9E"/>
    <w:rsid w:val="00437B68"/>
    <w:rsid w:val="0047195E"/>
    <w:rsid w:val="00486011"/>
    <w:rsid w:val="00493B76"/>
    <w:rsid w:val="004B09DA"/>
    <w:rsid w:val="004B1C6A"/>
    <w:rsid w:val="004C03EF"/>
    <w:rsid w:val="004D1573"/>
    <w:rsid w:val="004E099A"/>
    <w:rsid w:val="004E3AEA"/>
    <w:rsid w:val="004F4432"/>
    <w:rsid w:val="00525646"/>
    <w:rsid w:val="005336E4"/>
    <w:rsid w:val="00534B4C"/>
    <w:rsid w:val="00536CF2"/>
    <w:rsid w:val="00567967"/>
    <w:rsid w:val="005736C4"/>
    <w:rsid w:val="005A32D9"/>
    <w:rsid w:val="0060552B"/>
    <w:rsid w:val="00631781"/>
    <w:rsid w:val="006362D3"/>
    <w:rsid w:val="006566B3"/>
    <w:rsid w:val="006720D4"/>
    <w:rsid w:val="00675FCA"/>
    <w:rsid w:val="0069488B"/>
    <w:rsid w:val="006A16B1"/>
    <w:rsid w:val="006A6698"/>
    <w:rsid w:val="006B0350"/>
    <w:rsid w:val="006B0F99"/>
    <w:rsid w:val="006C3B33"/>
    <w:rsid w:val="006D69DB"/>
    <w:rsid w:val="00714404"/>
    <w:rsid w:val="007165EA"/>
    <w:rsid w:val="007417EA"/>
    <w:rsid w:val="00761057"/>
    <w:rsid w:val="00762510"/>
    <w:rsid w:val="00762785"/>
    <w:rsid w:val="007718FD"/>
    <w:rsid w:val="00780168"/>
    <w:rsid w:val="007C7EC9"/>
    <w:rsid w:val="00814939"/>
    <w:rsid w:val="00815C3F"/>
    <w:rsid w:val="00861DCD"/>
    <w:rsid w:val="00872B8A"/>
    <w:rsid w:val="00890B8C"/>
    <w:rsid w:val="00894F0D"/>
    <w:rsid w:val="00897911"/>
    <w:rsid w:val="008A5396"/>
    <w:rsid w:val="008B0367"/>
    <w:rsid w:val="008B0F0F"/>
    <w:rsid w:val="008B199E"/>
    <w:rsid w:val="008E2F22"/>
    <w:rsid w:val="0090172E"/>
    <w:rsid w:val="00927169"/>
    <w:rsid w:val="009315E1"/>
    <w:rsid w:val="00934964"/>
    <w:rsid w:val="00950C8B"/>
    <w:rsid w:val="0095742D"/>
    <w:rsid w:val="009831DF"/>
    <w:rsid w:val="009A33F5"/>
    <w:rsid w:val="009A3642"/>
    <w:rsid w:val="009A62C7"/>
    <w:rsid w:val="009B153A"/>
    <w:rsid w:val="009B3320"/>
    <w:rsid w:val="009D7904"/>
    <w:rsid w:val="009F08EB"/>
    <w:rsid w:val="009F54E8"/>
    <w:rsid w:val="00A22AC8"/>
    <w:rsid w:val="00A32A4B"/>
    <w:rsid w:val="00A3437F"/>
    <w:rsid w:val="00A364C6"/>
    <w:rsid w:val="00A44EBD"/>
    <w:rsid w:val="00A50A33"/>
    <w:rsid w:val="00A51741"/>
    <w:rsid w:val="00A56FCA"/>
    <w:rsid w:val="00A57F9C"/>
    <w:rsid w:val="00AB5D13"/>
    <w:rsid w:val="00AC48CC"/>
    <w:rsid w:val="00AD3E68"/>
    <w:rsid w:val="00AE26DB"/>
    <w:rsid w:val="00AF2AB9"/>
    <w:rsid w:val="00B2050D"/>
    <w:rsid w:val="00B3731D"/>
    <w:rsid w:val="00B81E48"/>
    <w:rsid w:val="00B82438"/>
    <w:rsid w:val="00BF4716"/>
    <w:rsid w:val="00BF4807"/>
    <w:rsid w:val="00C000B4"/>
    <w:rsid w:val="00C002F5"/>
    <w:rsid w:val="00C27DE5"/>
    <w:rsid w:val="00C4195C"/>
    <w:rsid w:val="00C5160E"/>
    <w:rsid w:val="00C61BDF"/>
    <w:rsid w:val="00C7155A"/>
    <w:rsid w:val="00CB74CB"/>
    <w:rsid w:val="00CC5EE2"/>
    <w:rsid w:val="00D066A2"/>
    <w:rsid w:val="00D15F2E"/>
    <w:rsid w:val="00D2726F"/>
    <w:rsid w:val="00D37864"/>
    <w:rsid w:val="00D44287"/>
    <w:rsid w:val="00D5036B"/>
    <w:rsid w:val="00D65192"/>
    <w:rsid w:val="00D67788"/>
    <w:rsid w:val="00D713A1"/>
    <w:rsid w:val="00D82392"/>
    <w:rsid w:val="00DA44AD"/>
    <w:rsid w:val="00DB5AF1"/>
    <w:rsid w:val="00DE6FB2"/>
    <w:rsid w:val="00DF45EC"/>
    <w:rsid w:val="00DF481D"/>
    <w:rsid w:val="00E166A2"/>
    <w:rsid w:val="00E231AC"/>
    <w:rsid w:val="00E259C7"/>
    <w:rsid w:val="00E4134E"/>
    <w:rsid w:val="00E650DF"/>
    <w:rsid w:val="00E72FFB"/>
    <w:rsid w:val="00E75C40"/>
    <w:rsid w:val="00E8370D"/>
    <w:rsid w:val="00EA2D33"/>
    <w:rsid w:val="00F000F7"/>
    <w:rsid w:val="00F12994"/>
    <w:rsid w:val="00F15D38"/>
    <w:rsid w:val="00F16D0E"/>
    <w:rsid w:val="00F235D5"/>
    <w:rsid w:val="00F36370"/>
    <w:rsid w:val="00F408D0"/>
    <w:rsid w:val="00F82D22"/>
    <w:rsid w:val="00FA7B3E"/>
    <w:rsid w:val="00FB6EFE"/>
    <w:rsid w:val="00FF025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4B09D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09DA"/>
    <w:rPr>
      <w:sz w:val="20"/>
      <w:szCs w:val="20"/>
    </w:rPr>
  </w:style>
  <w:style w:type="character" w:customStyle="1" w:styleId="TextkomentraChar">
    <w:name w:val="Text komentára Char"/>
    <w:link w:val="Textkomentra"/>
    <w:rsid w:val="004B09DA"/>
    <w:rPr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rsid w:val="004B09DA"/>
    <w:rPr>
      <w:b/>
      <w:bCs/>
    </w:rPr>
  </w:style>
  <w:style w:type="character" w:customStyle="1" w:styleId="PredmetkomentraChar">
    <w:name w:val="Predmet komentára Char"/>
    <w:link w:val="Predmetkomentra"/>
    <w:rsid w:val="004B09DA"/>
    <w:rPr>
      <w:b/>
      <w:bCs/>
      <w:lang w:eastAsia="ja-JP"/>
    </w:rPr>
  </w:style>
  <w:style w:type="paragraph" w:styleId="Textbubliny">
    <w:name w:val="Balloon Text"/>
    <w:basedOn w:val="Normlny"/>
    <w:link w:val="TextbublinyChar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09DA"/>
    <w:rPr>
      <w:rFonts w:ascii="Tahoma" w:hAnsi="Tahoma" w:cs="Tahoma"/>
      <w:sz w:val="16"/>
      <w:szCs w:val="16"/>
      <w:lang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link w:val="Obyajntext"/>
    <w:uiPriority w:val="99"/>
    <w:rsid w:val="00493B76"/>
    <w:rPr>
      <w:rFonts w:ascii="Calibri" w:eastAsia="Calibri" w:hAnsi="Calibr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 w:hint="default"/>
      <w:color w:val="000000"/>
    </w:rPr>
  </w:style>
  <w:style w:type="character" w:styleId="PremennHTML">
    <w:name w:val="HTML Variable"/>
    <w:basedOn w:val="Predvolenpsmoodseku"/>
    <w:uiPriority w:val="99"/>
    <w:unhideWhenUsed/>
    <w:rsid w:val="00EA2D3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EA2D33"/>
    <w:pPr>
      <w:spacing w:before="144" w:after="144"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4B09D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09DA"/>
    <w:rPr>
      <w:sz w:val="20"/>
      <w:szCs w:val="20"/>
    </w:rPr>
  </w:style>
  <w:style w:type="character" w:customStyle="1" w:styleId="TextkomentraChar">
    <w:name w:val="Text komentára Char"/>
    <w:link w:val="Textkomentra"/>
    <w:rsid w:val="004B09DA"/>
    <w:rPr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rsid w:val="004B09DA"/>
    <w:rPr>
      <w:b/>
      <w:bCs/>
    </w:rPr>
  </w:style>
  <w:style w:type="character" w:customStyle="1" w:styleId="PredmetkomentraChar">
    <w:name w:val="Predmet komentára Char"/>
    <w:link w:val="Predmetkomentra"/>
    <w:rsid w:val="004B09DA"/>
    <w:rPr>
      <w:b/>
      <w:bCs/>
      <w:lang w:eastAsia="ja-JP"/>
    </w:rPr>
  </w:style>
  <w:style w:type="paragraph" w:styleId="Textbubliny">
    <w:name w:val="Balloon Text"/>
    <w:basedOn w:val="Normlny"/>
    <w:link w:val="TextbublinyChar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09DA"/>
    <w:rPr>
      <w:rFonts w:ascii="Tahoma" w:hAnsi="Tahoma" w:cs="Tahoma"/>
      <w:sz w:val="16"/>
      <w:szCs w:val="16"/>
      <w:lang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link w:val="Obyajntext"/>
    <w:uiPriority w:val="99"/>
    <w:rsid w:val="00493B76"/>
    <w:rPr>
      <w:rFonts w:ascii="Calibri" w:eastAsia="Calibri" w:hAnsi="Calibr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 w:hint="default"/>
      <w:color w:val="000000"/>
    </w:rPr>
  </w:style>
  <w:style w:type="character" w:styleId="PremennHTML">
    <w:name w:val="HTML Variable"/>
    <w:basedOn w:val="Predvolenpsmoodseku"/>
    <w:uiPriority w:val="99"/>
    <w:unhideWhenUsed/>
    <w:rsid w:val="00EA2D3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EA2D33"/>
    <w:pPr>
      <w:spacing w:before="144" w:after="144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1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544318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674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D6A6-3C44-4D20-97B9-69E9BB38D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8D83F-8958-4D92-B128-5C032294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Hornáček Vladimír</cp:lastModifiedBy>
  <cp:revision>4</cp:revision>
  <cp:lastPrinted>2016-05-11T07:03:00Z</cp:lastPrinted>
  <dcterms:created xsi:type="dcterms:W3CDTF">2016-06-29T09:40:00Z</dcterms:created>
  <dcterms:modified xsi:type="dcterms:W3CDTF">2016-06-29T09:48:00Z</dcterms:modified>
</cp:coreProperties>
</file>