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87" w:rsidRPr="0083273D" w:rsidRDefault="002978ED" w:rsidP="00EC2987">
      <w:pPr>
        <w:ind w:left="7079"/>
        <w:jc w:val="right"/>
        <w:rPr>
          <w:b/>
          <w:color w:val="000000" w:themeColor="text1"/>
          <w:sz w:val="24"/>
          <w:lang w:val="sk-SK"/>
        </w:rPr>
      </w:pPr>
      <w:bookmarkStart w:id="0" w:name="_GoBack"/>
      <w:bookmarkEnd w:id="0"/>
      <w:r w:rsidRPr="002978ED">
        <w:rPr>
          <w:b/>
          <w:color w:val="000000" w:themeColor="text1"/>
          <w:sz w:val="24"/>
          <w:lang w:val="sk-SK"/>
        </w:rPr>
        <w:t>Príloha 11</w:t>
      </w:r>
    </w:p>
    <w:p w:rsidR="00EC2987" w:rsidRPr="0083273D" w:rsidRDefault="0050775F" w:rsidP="00F30FA3">
      <w:pPr>
        <w:spacing w:after="60" w:line="320" w:lineRule="exact"/>
        <w:ind w:firstLine="709"/>
        <w:jc w:val="both"/>
        <w:rPr>
          <w:color w:val="000000" w:themeColor="text1"/>
          <w:sz w:val="24"/>
          <w:szCs w:val="24"/>
          <w:lang w:val="sk-SK"/>
        </w:rPr>
      </w:pPr>
      <w:r>
        <w:rPr>
          <w:noProof/>
          <w:color w:val="000000" w:themeColor="text1"/>
          <w:sz w:val="24"/>
          <w:szCs w:val="24"/>
          <w:lang w:val="sk-SK"/>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145415</wp:posOffset>
                </wp:positionV>
                <wp:extent cx="5960110" cy="407035"/>
                <wp:effectExtent l="76200" t="76200" r="254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40703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9pt;margin-top:11.45pt;width:469.3pt;height:3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" fillcolor="#c2d69b" stroked="f" strokecolor="#c2d69b" strokeweight="10pt">
                <v:stroke linestyle="thinThin"/>
                <v:shadow on="t" opacity=".5" offset="-6pt,-6pt"/>
              </v:shape>
            </w:pict>
          </mc:Fallback>
        </mc:AlternateContent>
      </w:r>
    </w:p>
    <w:p w:rsidR="00EC2987" w:rsidRPr="0083273D" w:rsidRDefault="002978ED" w:rsidP="00EC2987">
      <w:pPr>
        <w:spacing w:after="240" w:line="320" w:lineRule="exact"/>
        <w:rPr>
          <w:b/>
          <w:color w:val="000000" w:themeColor="text1"/>
          <w:sz w:val="24"/>
          <w:szCs w:val="24"/>
          <w:lang w:val="sk-SK"/>
        </w:rPr>
      </w:pPr>
      <w:r w:rsidRPr="002978ED">
        <w:rPr>
          <w:b/>
          <w:color w:val="000000" w:themeColor="text1"/>
          <w:sz w:val="24"/>
          <w:szCs w:val="24"/>
          <w:lang w:val="sk-SK"/>
        </w:rPr>
        <w:t>Priebežné vyhodnotenie Koncepcie rozvoja pôdohospodárstva SR  na roky 2013 – 2020</w:t>
      </w:r>
    </w:p>
    <w:p w:rsidR="009D643E" w:rsidRPr="0083273D" w:rsidRDefault="002978ED" w:rsidP="00EC2987">
      <w:pPr>
        <w:spacing w:after="240" w:line="320" w:lineRule="exact"/>
        <w:ind w:firstLine="709"/>
        <w:jc w:val="both"/>
        <w:rPr>
          <w:rFonts w:cs="ITCBookmanEE"/>
          <w:color w:val="000000" w:themeColor="text1"/>
          <w:sz w:val="24"/>
          <w:szCs w:val="19"/>
          <w:lang w:val="sk-SK"/>
        </w:rPr>
      </w:pPr>
      <w:r w:rsidRPr="002978ED">
        <w:rPr>
          <w:color w:val="000000" w:themeColor="text1"/>
          <w:sz w:val="24"/>
          <w:szCs w:val="24"/>
          <w:lang w:val="sk-SK"/>
        </w:rPr>
        <w:t xml:space="preserve">Koncepcia rozvoja pôdohospodárstva na roky 2013 – 2020, schválená vo vláde SR 3. 7. 2013 uznesením č. 357/2013, vychádza prioritne zo Spoločnej poľnohospodárskej politiky EÚ a programového vyhlásenia vlády Slovenskej republiky na roky 2012 – 2016. Zámerom tejto koncepcie je </w:t>
      </w:r>
      <w:r w:rsidRPr="002978ED">
        <w:rPr>
          <w:rFonts w:cs="ITCBookmanEE"/>
          <w:color w:val="000000" w:themeColor="text1"/>
          <w:sz w:val="24"/>
          <w:szCs w:val="19"/>
          <w:lang w:val="sk-SK"/>
        </w:rPr>
        <w:t>podporovať efektívnosť využívania zdrojov v záujme inteligentného, udržateľného a inkluzívneho rastu poľnohospodárstva a vidieckych oblastí.</w:t>
      </w:r>
    </w:p>
    <w:p w:rsidR="009D643E" w:rsidRPr="0083273D" w:rsidRDefault="002978ED" w:rsidP="00F30FA3">
      <w:pPr>
        <w:spacing w:after="60" w:line="320" w:lineRule="exact"/>
        <w:ind w:firstLine="709"/>
        <w:jc w:val="both"/>
        <w:rPr>
          <w:color w:val="000000" w:themeColor="text1"/>
          <w:sz w:val="24"/>
          <w:szCs w:val="24"/>
          <w:lang w:val="sk-SK"/>
        </w:rPr>
      </w:pPr>
      <w:r w:rsidRPr="002978ED">
        <w:rPr>
          <w:b/>
          <w:color w:val="000000" w:themeColor="text1"/>
          <w:sz w:val="24"/>
          <w:szCs w:val="24"/>
          <w:lang w:val="sk-SK"/>
        </w:rPr>
        <w:t>Bol vypracovaný Akčný plán rozvoja pôdohospodárstva SR na roky 2014 – 2020</w:t>
      </w:r>
      <w:r w:rsidRPr="002978ED">
        <w:rPr>
          <w:color w:val="000000" w:themeColor="text1"/>
          <w:sz w:val="24"/>
          <w:szCs w:val="24"/>
          <w:lang w:val="sk-SK"/>
        </w:rPr>
        <w:t>, ktorý bol schválený uznesením vlády SR č. 33/2014 zo dňa 22. januára 2014. V súlade s týmto akčným plánom bola pripravená Koncepcia podpory malých a mladých farmárov a Koncepcia revitalizácie hydromelioračných sústav. Bol vypracovaný Program rozvoja rastlinnej a živočíšnej výroby, ktorý bol základom pre spustenie nového systému podpôr slovenského poľnohospodárstva, tzv. sendvičového mechanizmu.</w:t>
      </w:r>
    </w:p>
    <w:p w:rsidR="00892EDC" w:rsidRPr="0083273D" w:rsidRDefault="002978ED" w:rsidP="00892EDC">
      <w:pPr>
        <w:spacing w:after="240" w:line="320" w:lineRule="exact"/>
        <w:ind w:firstLine="709"/>
        <w:jc w:val="both"/>
        <w:rPr>
          <w:color w:val="000000" w:themeColor="text1"/>
          <w:sz w:val="24"/>
          <w:szCs w:val="24"/>
          <w:lang w:val="sk-SK"/>
        </w:rPr>
      </w:pPr>
      <w:r w:rsidRPr="002978ED">
        <w:rPr>
          <w:color w:val="000000" w:themeColor="text1"/>
          <w:sz w:val="24"/>
          <w:szCs w:val="24"/>
          <w:lang w:val="sk-SK"/>
        </w:rPr>
        <w:t xml:space="preserve">Uvedené koncepčné materiály nastavili rámce na zefektívnenie poľnohospodárskej prvovýroby resp. jej častí. Aplikáciou opatrení spolu s implementáciou podpôr v rámci SPP sa môžu v strednodobom horizonte, pri priaznivom vývoji makroekonomického prostredia, prejaviť pozitívne vplyvy na sektor. Jednotlivé úlohy sú plnené priebežne v závislosti najmä od rozpočtových možností. </w:t>
      </w:r>
    </w:p>
    <w:p w:rsidR="00D3436B" w:rsidRPr="0083273D" w:rsidRDefault="00D3436B" w:rsidP="00D3436B">
      <w:pPr>
        <w:tabs>
          <w:tab w:val="left" w:pos="567"/>
        </w:tabs>
        <w:jc w:val="both"/>
        <w:rPr>
          <w:color w:val="000000" w:themeColor="text1"/>
        </w:rPr>
      </w:pPr>
    </w:p>
    <w:p w:rsidR="008B3577" w:rsidRPr="0083273D" w:rsidRDefault="002978ED">
      <w:pPr>
        <w:spacing w:after="120" w:line="320" w:lineRule="exact"/>
        <w:jc w:val="both"/>
        <w:rPr>
          <w:b/>
          <w:color w:val="000000" w:themeColor="text1"/>
          <w:sz w:val="24"/>
          <w:szCs w:val="22"/>
          <w:lang w:val="sk-SK"/>
        </w:rPr>
      </w:pPr>
      <w:r w:rsidRPr="002978ED">
        <w:rPr>
          <w:b/>
          <w:color w:val="000000" w:themeColor="text1"/>
          <w:sz w:val="24"/>
          <w:szCs w:val="22"/>
          <w:lang w:val="sk-SK"/>
        </w:rPr>
        <w:t>Sekcia poľnohospodárstva aj jej organizačné útvary v roku 2015 splnili a začali plniť nasledovné úlohy:</w:t>
      </w:r>
    </w:p>
    <w:p w:rsidR="008B3577" w:rsidRPr="0083273D" w:rsidRDefault="002978ED">
      <w:pPr>
        <w:pStyle w:val="Nadpis3"/>
        <w:keepLines/>
        <w:spacing w:before="0" w:after="0" w:line="320" w:lineRule="atLeast"/>
        <w:ind w:left="360" w:hanging="360"/>
        <w:jc w:val="both"/>
        <w:rPr>
          <w:rFonts w:ascii="Times New Roman" w:hAnsi="Times New Roman"/>
          <w:color w:val="000000" w:themeColor="text1"/>
          <w:sz w:val="24"/>
        </w:rPr>
      </w:pPr>
      <w:r w:rsidRPr="002978ED">
        <w:rPr>
          <w:rFonts w:ascii="Times New Roman" w:hAnsi="Times New Roman"/>
          <w:color w:val="000000" w:themeColor="text1"/>
          <w:sz w:val="24"/>
        </w:rPr>
        <w:t>Mlieko a mliečne výrobky</w:t>
      </w:r>
    </w:p>
    <w:p w:rsidR="008B3577" w:rsidRPr="0083273D" w:rsidRDefault="002978ED">
      <w:pPr>
        <w:spacing w:line="320" w:lineRule="atLeast"/>
        <w:jc w:val="both"/>
        <w:rPr>
          <w:b/>
          <w:color w:val="000000" w:themeColor="text1"/>
          <w:sz w:val="24"/>
          <w:lang w:val="sk-SK"/>
        </w:rPr>
      </w:pPr>
      <w:r w:rsidRPr="002978ED">
        <w:rPr>
          <w:b/>
          <w:color w:val="000000" w:themeColor="text1"/>
          <w:sz w:val="24"/>
          <w:lang w:val="sk-SK"/>
        </w:rPr>
        <w:t>Cieľ:</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bCs/>
          <w:color w:val="000000" w:themeColor="text1"/>
          <w:sz w:val="24"/>
        </w:rPr>
      </w:pPr>
      <w:r w:rsidRPr="002978ED">
        <w:rPr>
          <w:rFonts w:ascii="Times New Roman" w:hAnsi="Times New Roman"/>
          <w:color w:val="000000" w:themeColor="text1"/>
          <w:sz w:val="24"/>
        </w:rPr>
        <w:t xml:space="preserve">dosiahnuť priemernú výkupnú cenu pre prvovýrobcov za 1 l surového kravského mlieka na úrovni, ktorá by pokrývala vlastné náklady na 1 l surového kravského </w:t>
      </w:r>
      <w:r w:rsidRPr="002978ED">
        <w:rPr>
          <w:rFonts w:ascii="Times New Roman" w:hAnsi="Times New Roman"/>
          <w:bCs/>
          <w:color w:val="000000" w:themeColor="text1"/>
          <w:sz w:val="24"/>
        </w:rPr>
        <w:t>mlieka</w:t>
      </w:r>
    </w:p>
    <w:p w:rsidR="008B3577" w:rsidRPr="0083273D" w:rsidRDefault="002978ED">
      <w:pPr>
        <w:autoSpaceDE w:val="0"/>
        <w:autoSpaceDN w:val="0"/>
        <w:spacing w:line="320" w:lineRule="atLeast"/>
        <w:jc w:val="both"/>
        <w:rPr>
          <w:b/>
          <w:color w:val="000000" w:themeColor="text1"/>
          <w:sz w:val="24"/>
          <w:lang w:val="sk-SK"/>
        </w:rPr>
      </w:pPr>
      <w:r w:rsidRPr="002978ED">
        <w:rPr>
          <w:b/>
          <w:color w:val="000000" w:themeColor="text1"/>
          <w:sz w:val="24"/>
          <w:lang w:val="sk-SK"/>
        </w:rPr>
        <w:t xml:space="preserve">Vyhodnotenie: </w:t>
      </w:r>
    </w:p>
    <w:p w:rsidR="008B3577" w:rsidRPr="0083273D" w:rsidRDefault="002978ED">
      <w:pPr>
        <w:autoSpaceDE w:val="0"/>
        <w:autoSpaceDN w:val="0"/>
        <w:spacing w:line="320" w:lineRule="atLeast"/>
        <w:jc w:val="both"/>
        <w:rPr>
          <w:color w:val="000000" w:themeColor="text1"/>
          <w:sz w:val="24"/>
          <w:lang w:val="sk-SK"/>
        </w:rPr>
      </w:pPr>
      <w:r w:rsidRPr="002978ED">
        <w:rPr>
          <w:color w:val="000000" w:themeColor="text1"/>
          <w:sz w:val="24"/>
          <w:lang w:val="sk-SK"/>
        </w:rPr>
        <w:t xml:space="preserve">Tento cieľ resp. opatrenie nie je možné  vzhľadom na nestabilnú situáciu v sektore mlieka realizovať. Priemerná cena za 1kg SKM sa v SR pohybuje  na úrovni 0,2589 €/kg, kým odhadované náklady na výrobu 1kg mlieka sú v SR na úrovni 0,40-0,42 €/kg. Aby sa dosiahlo vyrovnanie týchto dvoch hladín, je nutné aby sa výrobcovia zamerali na zefektívnenie svojich chovov a všeobecne musí nastať stabilizácia celého mliečneho sektora v rámci EÚ, ale aj v celosvetovom meradle. </w:t>
      </w:r>
    </w:p>
    <w:p w:rsidR="008B3577" w:rsidRPr="0083273D" w:rsidRDefault="008B3577">
      <w:pPr>
        <w:spacing w:line="320" w:lineRule="atLeast"/>
        <w:jc w:val="both"/>
        <w:rPr>
          <w:b/>
          <w:color w:val="000000" w:themeColor="text1"/>
          <w:sz w:val="24"/>
          <w:lang w:val="sk-SK"/>
        </w:rPr>
      </w:pPr>
    </w:p>
    <w:p w:rsidR="008B3577" w:rsidRPr="0083273D" w:rsidRDefault="002978ED">
      <w:pPr>
        <w:spacing w:line="320" w:lineRule="atLeast"/>
        <w:jc w:val="both"/>
        <w:rPr>
          <w:b/>
          <w:color w:val="000000" w:themeColor="text1"/>
          <w:sz w:val="24"/>
          <w:lang w:val="sk-SK"/>
        </w:rPr>
      </w:pPr>
      <w:r w:rsidRPr="002978ED">
        <w:rPr>
          <w:b/>
          <w:color w:val="000000" w:themeColor="text1"/>
          <w:sz w:val="24"/>
          <w:lang w:val="sk-SK"/>
        </w:rPr>
        <w:t>Cieľ:</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presadiť prijatie účinných opatrení na reguláciu trhu s mliekom v EÚ na obdobie po roku 2015</w:t>
      </w:r>
    </w:p>
    <w:p w:rsidR="008B3577" w:rsidRPr="0083273D" w:rsidRDefault="002978ED">
      <w:pPr>
        <w:autoSpaceDE w:val="0"/>
        <w:autoSpaceDN w:val="0"/>
        <w:spacing w:line="320" w:lineRule="atLeast"/>
        <w:jc w:val="both"/>
        <w:rPr>
          <w:b/>
          <w:color w:val="000000" w:themeColor="text1"/>
          <w:sz w:val="24"/>
          <w:lang w:val="sk-SK"/>
        </w:rPr>
      </w:pPr>
      <w:r w:rsidRPr="002978ED">
        <w:rPr>
          <w:b/>
          <w:color w:val="000000" w:themeColor="text1"/>
          <w:sz w:val="24"/>
          <w:lang w:val="sk-SK"/>
        </w:rPr>
        <w:t xml:space="preserve">Vyhodnotenie: </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t>SR v snahe podporiť proces prípravy na ukončenie kvót prijala tzv. „Mliečny balíček“, ktorý mal umožniť prvovýrobcov uzatvárať písomné zmluvy a vytvárať silné organizácie výrobcov a medziodvetvové organizácie, aby sa posilnilo ich postavenie v obchodnom reťazci.</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lastRenderedPageBreak/>
        <w:t xml:space="preserve">Prostredníctvom organizácií výrobcov môžu prvovýrobcovia znižovať svoje náklady – spoločnou kúpou krmív, hnojív, pohonných hmôt, strojov, atď. Môžu zabezpečiť dlhodobý odbyt mlieka uzatváraním dlhodobých zmlúv so spracovateľmi, ako aj vyjednať lepšie nákupné ceny mlieka. Túto úlohu sa však na európskej úrovni zatiaľ nepodarilo splniť. Európska Komisia neprijala nové regulačné mechanizmy a situácia v sektore mlieka sa naďalej zhoršuje. V súčasnosti (máj, 2016) čelí sektor mlieka výraznému prepadu z dôvodu ruského embarga a enormnej nadprodukcie mlieka v rámci EÚ. Napriek tomu, že SR aktívne presadzovala prijatie opatrení na reguláciu trhu po ukončení kvót, nenašla sa politická podpora na ich prijatie, pričom dôsledky budú pre sektor značné. V tejto situácii bude nutné prijať aspoň efektívne vnútroštátne opatrenia na záchranu mliečneho sektora v SR.   </w:t>
      </w:r>
    </w:p>
    <w:p w:rsidR="008B3577" w:rsidRPr="0083273D" w:rsidRDefault="008B3577">
      <w:pPr>
        <w:spacing w:line="320" w:lineRule="atLeast"/>
        <w:jc w:val="both"/>
        <w:rPr>
          <w:color w:val="000000" w:themeColor="text1"/>
          <w:sz w:val="24"/>
          <w:lang w:val="sk-SK"/>
        </w:rPr>
      </w:pPr>
    </w:p>
    <w:p w:rsidR="008B3577" w:rsidRPr="0083273D" w:rsidRDefault="002978ED">
      <w:pPr>
        <w:pStyle w:val="Nadpis3"/>
        <w:keepLines/>
        <w:spacing w:before="0" w:after="0" w:line="320" w:lineRule="atLeast"/>
        <w:ind w:left="360" w:hanging="360"/>
        <w:jc w:val="both"/>
        <w:rPr>
          <w:rFonts w:ascii="Times New Roman" w:hAnsi="Times New Roman"/>
          <w:color w:val="000000" w:themeColor="text1"/>
          <w:sz w:val="24"/>
        </w:rPr>
      </w:pPr>
      <w:r w:rsidRPr="002978ED">
        <w:rPr>
          <w:rFonts w:ascii="Times New Roman" w:hAnsi="Times New Roman"/>
          <w:color w:val="000000" w:themeColor="text1"/>
          <w:sz w:val="24"/>
        </w:rPr>
        <w:t>Bravčové mäso</w:t>
      </w:r>
    </w:p>
    <w:p w:rsidR="008B3577" w:rsidRPr="0083273D" w:rsidRDefault="002978ED">
      <w:pPr>
        <w:spacing w:line="320" w:lineRule="atLeast"/>
        <w:jc w:val="both"/>
        <w:rPr>
          <w:b/>
          <w:bCs/>
          <w:color w:val="000000" w:themeColor="text1"/>
          <w:sz w:val="24"/>
          <w:lang w:val="sk-SK"/>
        </w:rPr>
      </w:pPr>
      <w:r w:rsidRPr="002978ED">
        <w:rPr>
          <w:b/>
          <w:bCs/>
          <w:color w:val="000000" w:themeColor="text1"/>
          <w:sz w:val="24"/>
          <w:lang w:val="sk-SK"/>
        </w:rPr>
        <w:t>Cieľ:</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zvýšiť počet prasníc o 30 000 ks a súčasne zvýšiť parametre ich reprodukčnej úžitkovosti na úroveň 20 – 21 odstavčiat na 1 prasnicu</w:t>
      </w:r>
    </w:p>
    <w:p w:rsidR="008B3577" w:rsidRPr="0083273D" w:rsidRDefault="002978ED">
      <w:pPr>
        <w:spacing w:line="320" w:lineRule="atLeast"/>
        <w:jc w:val="both"/>
        <w:rPr>
          <w:b/>
          <w:bCs/>
          <w:color w:val="000000" w:themeColor="text1"/>
          <w:sz w:val="24"/>
          <w:lang w:val="sk-SK"/>
        </w:rPr>
      </w:pPr>
      <w:r w:rsidRPr="002978ED">
        <w:rPr>
          <w:b/>
          <w:bCs/>
          <w:color w:val="000000" w:themeColor="text1"/>
          <w:sz w:val="24"/>
          <w:lang w:val="sk-SK"/>
        </w:rPr>
        <w:t xml:space="preserve">Vyhodnotenie: </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t xml:space="preserve">Pokles počtu prasníc v roku 2014 a 2015 oproti roku 2013 bol spôsobený nepriaznivou situáciou na trhu s ošípanými (výrazný pokles ceny za jatočné ošípané) v dôsledku výskytu afrického moru ošípaných v EÚ a zákazu dovozu ošípaných do Ruskej federácie z EÚ. Pri hodnotení ukazovateľa „zvýšiť parametre produkčnej úžitkovosti na úroveň 20 – 21 odstavčiat na 1 prasnicu“ môžeme konštatovať, že už v roku 2013 a taktiež aj v roku 2014 došlo k naplneniu cieľa a v roku 2015 dosiahol odchov 23,62 ks prasiat na </w:t>
      </w:r>
      <w:r w:rsidRPr="002978ED">
        <w:rPr>
          <w:color w:val="000000" w:themeColor="text1"/>
          <w:sz w:val="24"/>
          <w:lang w:val="sk-SK"/>
        </w:rPr>
        <w:br/>
        <w:t>1 prasnicu čo je o 0,24 ks viac ako v roku 2014.</w:t>
      </w:r>
    </w:p>
    <w:p w:rsidR="008B3577" w:rsidRDefault="008B3577">
      <w:pPr>
        <w:spacing w:line="320" w:lineRule="atLeast"/>
        <w:jc w:val="both"/>
        <w:rPr>
          <w:color w:val="000000" w:themeColor="text1"/>
          <w:sz w:val="24"/>
        </w:rPr>
      </w:pPr>
    </w:p>
    <w:p w:rsidR="001A6DC0" w:rsidRPr="0050775F" w:rsidRDefault="005072C2" w:rsidP="0050775F">
      <w:pPr>
        <w:spacing w:line="320" w:lineRule="atLeast"/>
        <w:ind w:firstLine="360"/>
        <w:jc w:val="both"/>
        <w:rPr>
          <w:b/>
          <w:color w:val="000000" w:themeColor="text1"/>
          <w:sz w:val="24"/>
          <w:lang w:val="sk-SK"/>
        </w:rPr>
      </w:pPr>
      <w:r w:rsidRPr="0050775F">
        <w:rPr>
          <w:color w:val="000000" w:themeColor="text1"/>
          <w:sz w:val="24"/>
          <w:lang w:val="sk-SK"/>
        </w:rPr>
        <w:t xml:space="preserve">Bola vyplatená dočasná </w:t>
      </w:r>
      <w:r w:rsidRPr="0050775F">
        <w:rPr>
          <w:b/>
          <w:color w:val="000000" w:themeColor="text1"/>
          <w:sz w:val="24"/>
          <w:lang w:val="sk-SK"/>
        </w:rPr>
        <w:t>mimoriadna podpora</w:t>
      </w:r>
      <w:r w:rsidRPr="0050775F">
        <w:rPr>
          <w:color w:val="000000" w:themeColor="text1"/>
          <w:sz w:val="24"/>
          <w:lang w:val="sk-SK"/>
        </w:rPr>
        <w:t xml:space="preserve"> na základe delegovaného nariadenia Komisie (EÚ) 2015/1853 z 15. októbra 2015, ktorým sa stanovuje dočasná mimoriadna pomoc pre poľnohospodárov v sektoroch chovu hospodárskych zvierat a na základe výnosu MPRV SR z 29. októbra 2015 č. 504/2015-100 o poskytovaní mimoriadnej podpory v</w:t>
      </w:r>
      <w:r w:rsidR="006A34C1">
        <w:rPr>
          <w:color w:val="000000" w:themeColor="text1"/>
          <w:sz w:val="24"/>
          <w:lang w:val="sk-SK"/>
        </w:rPr>
        <w:t> </w:t>
      </w:r>
      <w:r w:rsidRPr="0050775F">
        <w:rPr>
          <w:b/>
          <w:color w:val="000000" w:themeColor="text1"/>
          <w:sz w:val="24"/>
          <w:lang w:val="sk-SK"/>
        </w:rPr>
        <w:t>sektore mlieka a bravčového mäsa.</w:t>
      </w:r>
    </w:p>
    <w:p w:rsidR="006A34C1" w:rsidRPr="0050775F" w:rsidRDefault="006A34C1">
      <w:pPr>
        <w:spacing w:line="320" w:lineRule="atLeast"/>
        <w:jc w:val="both"/>
        <w:rPr>
          <w:color w:val="000000" w:themeColor="text1"/>
          <w:sz w:val="24"/>
          <w:lang w:val="sk-SK"/>
        </w:rPr>
      </w:pPr>
    </w:p>
    <w:p w:rsidR="008B3577" w:rsidRPr="0083273D" w:rsidRDefault="002978ED">
      <w:pPr>
        <w:pStyle w:val="Nadpis3"/>
        <w:keepLines/>
        <w:spacing w:before="0" w:after="0" w:line="320" w:lineRule="atLeast"/>
        <w:ind w:left="360" w:hanging="360"/>
        <w:jc w:val="both"/>
        <w:rPr>
          <w:rFonts w:ascii="Times New Roman" w:hAnsi="Times New Roman"/>
          <w:color w:val="000000" w:themeColor="text1"/>
          <w:sz w:val="24"/>
        </w:rPr>
      </w:pPr>
      <w:r w:rsidRPr="002978ED">
        <w:rPr>
          <w:rFonts w:ascii="Times New Roman" w:hAnsi="Times New Roman"/>
          <w:color w:val="000000" w:themeColor="text1"/>
          <w:sz w:val="24"/>
        </w:rPr>
        <w:t>Hovädzie a teľacie mäso</w:t>
      </w:r>
    </w:p>
    <w:p w:rsidR="008B3577" w:rsidRPr="0083273D" w:rsidRDefault="002978ED">
      <w:pPr>
        <w:spacing w:line="320" w:lineRule="atLeast"/>
        <w:jc w:val="both"/>
        <w:rPr>
          <w:b/>
          <w:color w:val="000000" w:themeColor="text1"/>
          <w:sz w:val="24"/>
          <w:lang w:val="sk-SK"/>
        </w:rPr>
      </w:pPr>
      <w:r w:rsidRPr="002978ED">
        <w:rPr>
          <w:b/>
          <w:color w:val="000000" w:themeColor="text1"/>
          <w:sz w:val="24"/>
          <w:lang w:val="sk-SK"/>
        </w:rPr>
        <w:t>Cieľ:</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zvýšiť výkonnosť spracovateľského priemyslu na Slovensku minimálne o 19,5 % súčasnej úrovne čistej produkcie hovädzieho a teľacieho mäsa, čo v absolútnom vyjadrení predstavuje zvýšenie výkonnosti v objeme 3 630 ton v jatočnej hmotnosti</w:t>
      </w:r>
    </w:p>
    <w:p w:rsidR="008B3577" w:rsidRPr="0083273D" w:rsidRDefault="002978ED">
      <w:pPr>
        <w:spacing w:line="320" w:lineRule="atLeast"/>
        <w:jc w:val="both"/>
        <w:rPr>
          <w:b/>
          <w:bCs/>
          <w:color w:val="000000" w:themeColor="text1"/>
          <w:sz w:val="24"/>
          <w:lang w:val="sk-SK"/>
        </w:rPr>
      </w:pPr>
      <w:r w:rsidRPr="002978ED">
        <w:rPr>
          <w:b/>
          <w:bCs/>
          <w:color w:val="000000" w:themeColor="text1"/>
          <w:sz w:val="24"/>
          <w:lang w:val="sk-SK"/>
        </w:rPr>
        <w:t xml:space="preserve">Vyhodnotenie: </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t xml:space="preserve">Pokiaľ ide o zvýšenie výkonnosti  bitúnkov v SR, v roku 2015 sa nepodarilo priblížiť k uvedenému cieľu. V roku 2013 bol zaznamenaný výrazný nárast spotreby hovädzieho mäsa (vrátane vnútorností) na 4,37 kg na obyvateľa ročne oproti roku 2012, kedy spotreba dosahovala len 3,55 kg na obyvateľa ročne. Trend nárastu spotreby sa však nepotvrdil, pretože v roku 2014 bol zaznamenaný opätovný pokles spotreby na 4,17 kg na obyvateľa a predbežný odhad na rok 2015 je 4,21 kg na obyvateľa. Celkovo sa v roku 2015 spotrebovalo </w:t>
      </w:r>
      <w:r w:rsidRPr="002978ED">
        <w:rPr>
          <w:color w:val="000000" w:themeColor="text1"/>
          <w:sz w:val="24"/>
          <w:lang w:val="sk-SK"/>
        </w:rPr>
        <w:lastRenderedPageBreak/>
        <w:t xml:space="preserve">cca 22 800 ton hovädzieho a teľacieho mäsa v hodnote na kosti, to znamená odhadovaný pokles celkovej spotreby o 3,4 % v porovnaní s rokom 2013. </w:t>
      </w:r>
    </w:p>
    <w:p w:rsidR="008B3577" w:rsidRPr="0083273D" w:rsidRDefault="008B3577">
      <w:pPr>
        <w:spacing w:line="320" w:lineRule="atLeast"/>
        <w:jc w:val="both"/>
        <w:rPr>
          <w:b/>
          <w:color w:val="000000" w:themeColor="text1"/>
          <w:sz w:val="24"/>
          <w:lang w:val="sk-SK"/>
        </w:rPr>
      </w:pPr>
    </w:p>
    <w:p w:rsidR="008B3577" w:rsidRPr="0083273D" w:rsidRDefault="002978ED">
      <w:pPr>
        <w:spacing w:line="320" w:lineRule="atLeast"/>
        <w:jc w:val="both"/>
        <w:rPr>
          <w:b/>
          <w:color w:val="000000" w:themeColor="text1"/>
          <w:sz w:val="24"/>
          <w:lang w:val="sk-SK"/>
        </w:rPr>
      </w:pPr>
      <w:r w:rsidRPr="002978ED">
        <w:rPr>
          <w:b/>
          <w:color w:val="000000" w:themeColor="text1"/>
          <w:sz w:val="24"/>
          <w:lang w:val="sk-SK"/>
        </w:rPr>
        <w:t>Cieľ:</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maximálne sa priblížiť k priemernej výkupnej cene za 1 kg živej hmotnosti hovädzieho na úrovni, ktorá by pokrývala vlastné náklady na 1 kg prírastku</w:t>
      </w:r>
    </w:p>
    <w:p w:rsidR="008B3577" w:rsidRPr="0083273D" w:rsidRDefault="002978ED">
      <w:pPr>
        <w:spacing w:line="320" w:lineRule="atLeast"/>
        <w:jc w:val="both"/>
        <w:rPr>
          <w:b/>
          <w:bCs/>
          <w:color w:val="000000" w:themeColor="text1"/>
          <w:sz w:val="24"/>
          <w:lang w:val="sk-SK"/>
        </w:rPr>
      </w:pPr>
      <w:r w:rsidRPr="002978ED">
        <w:rPr>
          <w:b/>
          <w:bCs/>
          <w:color w:val="000000" w:themeColor="text1"/>
          <w:sz w:val="24"/>
          <w:lang w:val="sk-SK"/>
        </w:rPr>
        <w:t xml:space="preserve">Vyhodnotenie: </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t xml:space="preserve">V roku 2014 teda oproti predchádzajúcim dvom rokom mierne vzrástli náklady na 1 kg prírastku hovädzieho dobytka vo výkrme. Nákupné ceny v kategórii býkov ani jatočných jalovíc však v roku 2015 nezaznamenali nárast, sú približne na úrovni predchádzajúcich rokov. </w:t>
      </w:r>
      <w:r w:rsidRPr="002978ED">
        <w:rPr>
          <w:b/>
          <w:color w:val="000000" w:themeColor="text1"/>
          <w:sz w:val="24"/>
          <w:lang w:val="sk-SK"/>
        </w:rPr>
        <w:t>V roku 2015 chovateľ nedostal cenu od bitúnku za 1 kg živej hmotnosti v takej výške, aby pokryla jeho vlastné náklady na 1 kg prírastku vynaložené v roku 2014.</w:t>
      </w:r>
      <w:r w:rsidRPr="002978ED">
        <w:rPr>
          <w:color w:val="000000" w:themeColor="text1"/>
          <w:sz w:val="24"/>
          <w:lang w:val="sk-SK"/>
        </w:rPr>
        <w:t xml:space="preserve"> Výsledky za rok 2015 bude možné vyhodnotiť po uverejnení zodpovedajúcej informácie o výške nákladov na 1 kg prírastku vo výkrme hovädzieho dobytka. </w:t>
      </w:r>
    </w:p>
    <w:p w:rsidR="008B3577" w:rsidRPr="0083273D" w:rsidRDefault="008B3577">
      <w:pPr>
        <w:spacing w:line="320" w:lineRule="atLeast"/>
        <w:jc w:val="both"/>
        <w:rPr>
          <w:color w:val="000000" w:themeColor="text1"/>
          <w:sz w:val="24"/>
          <w:lang w:val="sk-SK"/>
        </w:rPr>
      </w:pPr>
    </w:p>
    <w:p w:rsidR="008B3577" w:rsidRPr="0083273D" w:rsidRDefault="002978ED">
      <w:pPr>
        <w:pStyle w:val="Nadpis3"/>
        <w:keepLines/>
        <w:spacing w:before="0" w:after="0" w:line="320" w:lineRule="atLeast"/>
        <w:ind w:left="360" w:hanging="360"/>
        <w:jc w:val="both"/>
        <w:rPr>
          <w:rFonts w:ascii="Times New Roman" w:hAnsi="Times New Roman"/>
          <w:color w:val="000000" w:themeColor="text1"/>
          <w:sz w:val="24"/>
        </w:rPr>
      </w:pPr>
      <w:r w:rsidRPr="002978ED">
        <w:rPr>
          <w:rFonts w:ascii="Times New Roman" w:hAnsi="Times New Roman"/>
          <w:color w:val="000000" w:themeColor="text1"/>
          <w:sz w:val="24"/>
        </w:rPr>
        <w:t>Hospodársky chov rýb</w:t>
      </w:r>
    </w:p>
    <w:p w:rsidR="008B3577" w:rsidRPr="0083273D" w:rsidRDefault="002978ED">
      <w:pPr>
        <w:spacing w:line="320" w:lineRule="atLeast"/>
        <w:rPr>
          <w:b/>
          <w:color w:val="000000" w:themeColor="text1"/>
          <w:sz w:val="24"/>
          <w:lang w:val="sk-SK"/>
        </w:rPr>
      </w:pPr>
      <w:r w:rsidRPr="002978ED">
        <w:rPr>
          <w:b/>
          <w:color w:val="000000" w:themeColor="text1"/>
          <w:sz w:val="24"/>
          <w:lang w:val="sk-SK"/>
        </w:rPr>
        <w:t>Ciele:</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podporiť predaj produktov hospodárskeho chovu rýb priamo na farme v živom a/alebo upravenom stave;</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podporiť hlavne diverzifikáciu rybích fariem, ktorá by situáciu v hospodárskom chove rýb mohla podstatne zlepšiť;</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zlepšiť hydrologické pomery, čo v súčasnosti vplyvom klimatických zmien brzdí</w:t>
      </w:r>
    </w:p>
    <w:p w:rsidR="002978ED" w:rsidRPr="002978ED" w:rsidRDefault="002978ED" w:rsidP="002978ED">
      <w:pPr>
        <w:pStyle w:val="Odsekzoznamu"/>
        <w:suppressAutoHyphens w:val="0"/>
        <w:autoSpaceDE w:val="0"/>
        <w:spacing w:line="320" w:lineRule="atLeast"/>
        <w:ind w:left="284"/>
        <w:contextualSpacing/>
        <w:jc w:val="both"/>
        <w:rPr>
          <w:rFonts w:ascii="Times New Roman" w:hAnsi="Times New Roman"/>
          <w:color w:val="000000" w:themeColor="text1"/>
          <w:sz w:val="24"/>
        </w:rPr>
      </w:pPr>
      <w:r w:rsidRPr="002978ED">
        <w:rPr>
          <w:rFonts w:ascii="Times New Roman" w:hAnsi="Times New Roman"/>
          <w:color w:val="000000" w:themeColor="text1"/>
          <w:sz w:val="24"/>
        </w:rPr>
        <w:t>rozvoj sektora hospodárskeho chovu rýb;</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vzájomne vybilancovať ochranu rybožravých predátorov a hospodársky chov rýb,</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podporiť inovácie v sektore hospodárskeho chovu rýb, ktoré budú viac šetrné</w:t>
      </w:r>
    </w:p>
    <w:p w:rsidR="002978ED" w:rsidRPr="002978ED" w:rsidRDefault="002978ED" w:rsidP="002978ED">
      <w:pPr>
        <w:pStyle w:val="Odsekzoznamu"/>
        <w:suppressAutoHyphens w:val="0"/>
        <w:autoSpaceDE w:val="0"/>
        <w:spacing w:line="320" w:lineRule="atLeast"/>
        <w:ind w:left="284"/>
        <w:contextualSpacing/>
        <w:jc w:val="both"/>
        <w:rPr>
          <w:rFonts w:ascii="Times New Roman" w:hAnsi="Times New Roman"/>
          <w:color w:val="000000" w:themeColor="text1"/>
          <w:sz w:val="24"/>
        </w:rPr>
      </w:pPr>
      <w:r w:rsidRPr="002978ED">
        <w:rPr>
          <w:rFonts w:ascii="Times New Roman" w:hAnsi="Times New Roman"/>
          <w:color w:val="000000" w:themeColor="text1"/>
          <w:sz w:val="24"/>
        </w:rPr>
        <w:t>k životnému prostrediu s nižšími nárokmi na zdroje vody;</w:t>
      </w:r>
    </w:p>
    <w:p w:rsidR="008B3577" w:rsidRPr="0083273D" w:rsidRDefault="002978ED">
      <w:pPr>
        <w:pStyle w:val="Odsekzoznamu"/>
        <w:numPr>
          <w:ilvl w:val="0"/>
          <w:numId w:val="53"/>
        </w:numPr>
        <w:suppressAutoHyphens w:val="0"/>
        <w:autoSpaceDE w:val="0"/>
        <w:spacing w:line="320" w:lineRule="atLeast"/>
        <w:ind w:left="284" w:hanging="284"/>
        <w:contextualSpacing/>
        <w:jc w:val="both"/>
        <w:rPr>
          <w:rFonts w:ascii="Times New Roman" w:hAnsi="Times New Roman"/>
          <w:color w:val="000000" w:themeColor="text1"/>
          <w:sz w:val="24"/>
        </w:rPr>
      </w:pPr>
      <w:r w:rsidRPr="002978ED">
        <w:rPr>
          <w:rFonts w:ascii="Times New Roman" w:hAnsi="Times New Roman"/>
          <w:color w:val="000000" w:themeColor="text1"/>
          <w:sz w:val="24"/>
        </w:rPr>
        <w:t>podporiť zachovanie genofondu vybraných druhov rýb.</w:t>
      </w:r>
    </w:p>
    <w:p w:rsidR="008B3577" w:rsidRPr="0083273D" w:rsidRDefault="002978ED">
      <w:pPr>
        <w:spacing w:line="320" w:lineRule="atLeast"/>
        <w:jc w:val="both"/>
        <w:rPr>
          <w:b/>
          <w:bCs/>
          <w:color w:val="000000" w:themeColor="text1"/>
          <w:sz w:val="24"/>
          <w:lang w:val="sk-SK"/>
        </w:rPr>
      </w:pPr>
      <w:r w:rsidRPr="002978ED">
        <w:rPr>
          <w:b/>
          <w:bCs/>
          <w:color w:val="000000" w:themeColor="text1"/>
          <w:sz w:val="24"/>
          <w:lang w:val="sk-SK"/>
        </w:rPr>
        <w:t xml:space="preserve">Vyhodnotenie: </w:t>
      </w:r>
    </w:p>
    <w:p w:rsidR="008B3577" w:rsidRPr="0083273D" w:rsidRDefault="002978ED">
      <w:pPr>
        <w:spacing w:line="320" w:lineRule="atLeast"/>
        <w:jc w:val="both"/>
        <w:rPr>
          <w:color w:val="000000" w:themeColor="text1"/>
          <w:sz w:val="24"/>
          <w:lang w:val="sk-SK"/>
        </w:rPr>
      </w:pPr>
      <w:r w:rsidRPr="002978ED">
        <w:rPr>
          <w:color w:val="000000" w:themeColor="text1"/>
          <w:sz w:val="24"/>
          <w:lang w:val="sk-SK"/>
        </w:rPr>
        <w:t xml:space="preserve">V roku 2015 neboli vykonané žiadne potrebné kroky na posilnenie postavenia produkcie </w:t>
      </w:r>
      <w:r w:rsidRPr="002978ED">
        <w:rPr>
          <w:color w:val="000000" w:themeColor="text1"/>
          <w:sz w:val="24"/>
          <w:lang w:val="sk-SK"/>
        </w:rPr>
        <w:br/>
        <w:t>a zlepšenia sebestačnosti v produkcii rýb. Neboli vyčlenené žiadne finančné prostriedky pre podporu rozvoja tohto sektora. Prebehla príprava a následné  schválenie nového operačného programu pre rybné hospodárstvo 2014 – 2020 zo strany Európskej komisie (15. júla 2015), ktorého hlavnou úlohou je podpora rozvoja sektora hospodárskeho chovu rýb. Neboli vykonané žiadne legislatívne zmeny v súlade so zlepšením situácie v sektore akvakultúry. Prioritou pre budúce obdobie je vypracovanie zákona o akvakultúre, ktorý by jasne definoval produkčný sektor akvakultúry, ktorý sa často spája so športovým rybolovom.</w:t>
      </w:r>
    </w:p>
    <w:p w:rsidR="00F140C1" w:rsidRPr="0083273D" w:rsidRDefault="00F140C1" w:rsidP="00D3436B">
      <w:pPr>
        <w:tabs>
          <w:tab w:val="left" w:pos="567"/>
        </w:tabs>
        <w:jc w:val="both"/>
        <w:rPr>
          <w:color w:val="000000" w:themeColor="text1"/>
          <w:lang w:val="sk-SK"/>
        </w:rPr>
      </w:pPr>
    </w:p>
    <w:p w:rsidR="00D3436B" w:rsidRPr="0083273D" w:rsidRDefault="002978ED" w:rsidP="00EE5BC3">
      <w:pPr>
        <w:spacing w:after="200" w:line="276" w:lineRule="auto"/>
        <w:ind w:left="360" w:hanging="360"/>
        <w:contextualSpacing/>
        <w:jc w:val="both"/>
        <w:rPr>
          <w:b/>
          <w:color w:val="000000" w:themeColor="text1"/>
          <w:sz w:val="24"/>
          <w:lang w:val="sk-SK"/>
        </w:rPr>
      </w:pPr>
      <w:r w:rsidRPr="002978ED">
        <w:rPr>
          <w:b/>
          <w:color w:val="000000" w:themeColor="text1"/>
          <w:sz w:val="24"/>
          <w:lang w:val="sk-SK"/>
        </w:rPr>
        <w:t xml:space="preserve">Pestovanie ovocia a zeleniny: </w:t>
      </w:r>
    </w:p>
    <w:p w:rsidR="00D3436B" w:rsidRPr="0083273D" w:rsidRDefault="002978ED" w:rsidP="00EE5BC3">
      <w:pPr>
        <w:spacing w:line="320" w:lineRule="exact"/>
        <w:ind w:firstLine="708"/>
        <w:jc w:val="both"/>
        <w:rPr>
          <w:color w:val="000000" w:themeColor="text1"/>
          <w:sz w:val="24"/>
          <w:lang w:val="sk-SK"/>
        </w:rPr>
      </w:pPr>
      <w:r w:rsidRPr="002978ED">
        <w:rPr>
          <w:color w:val="000000" w:themeColor="text1"/>
          <w:sz w:val="24"/>
          <w:lang w:val="sk-SK"/>
        </w:rPr>
        <w:t xml:space="preserve">V sektore ovocia a zeleniny boli prijaté EÚ  </w:t>
      </w:r>
      <w:r w:rsidRPr="002978ED">
        <w:rPr>
          <w:color w:val="000000" w:themeColor="text1"/>
          <w:sz w:val="24"/>
          <w:u w:val="single"/>
          <w:lang w:val="sk-SK"/>
        </w:rPr>
        <w:t>mimoriadne podporné opatrenia na prevenciu krízy</w:t>
      </w:r>
      <w:r w:rsidRPr="002978ED">
        <w:rPr>
          <w:color w:val="000000" w:themeColor="text1"/>
          <w:sz w:val="24"/>
          <w:lang w:val="sk-SK"/>
        </w:rPr>
        <w:t xml:space="preserve">  na trhu EÚ (Podľa  delegovaného  nariadenia Komisie č. 2015/1369).  Na Slovensku  sa do tohto systému zapojili najmä organizácie výrobcov,  ktoré poskytli jablká charitatívnym organizáciám, nemocniciam, väzenským zariadeniam a detským domovom. Mimoriadne opatrenia  sa uplatňujú do júna 2016 a v termíne do  29. apríla PPA eviduje 682 ton jabĺk z celkového objemu 3000 ton, ktoré boli poskytnuté formou bezplatnej distribúcie </w:t>
      </w:r>
      <w:r w:rsidRPr="002978ED">
        <w:rPr>
          <w:color w:val="000000" w:themeColor="text1"/>
          <w:sz w:val="24"/>
          <w:lang w:val="sk-SK"/>
        </w:rPr>
        <w:lastRenderedPageBreak/>
        <w:t>a kompenzácia EÚ na tento objem predstavuje 285 142 €. </w:t>
      </w:r>
      <w:r w:rsidRPr="002978ED">
        <w:rPr>
          <w:bCs/>
          <w:color w:val="000000" w:themeColor="text1"/>
          <w:sz w:val="24"/>
          <w:lang w:val="sk-SK"/>
        </w:rPr>
        <w:t>Je  zrejmé, že mimoriadne podporné opatrenia EÚ naši pestovatelia veľmi nevyužívajú</w:t>
      </w:r>
      <w:r w:rsidRPr="002978ED">
        <w:rPr>
          <w:color w:val="000000" w:themeColor="text1"/>
          <w:sz w:val="24"/>
          <w:lang w:val="sk-SK"/>
        </w:rPr>
        <w:t>.</w:t>
      </w:r>
    </w:p>
    <w:p w:rsidR="00D3436B" w:rsidRPr="0083273D" w:rsidRDefault="002978ED" w:rsidP="00EE5BC3">
      <w:pPr>
        <w:pStyle w:val="Default"/>
        <w:spacing w:line="320" w:lineRule="exact"/>
        <w:ind w:firstLine="708"/>
        <w:jc w:val="both"/>
        <w:rPr>
          <w:color w:val="000000" w:themeColor="text1"/>
        </w:rPr>
      </w:pPr>
      <w:r w:rsidRPr="002978ED">
        <w:rPr>
          <w:color w:val="000000" w:themeColor="text1"/>
        </w:rPr>
        <w:t xml:space="preserve">Z  dôvodu zhoršených podmienok na trhu  spôsobených dlhotrvajúcim suchom  a ruským zákazom,  ministerstvo poskytlo ovocinárom odplatu na jadrové ovocie za splnenia stanovených podmienok, ktoré sledoval ÚKSÚP, v celkovej výške 600 tis. €. </w:t>
      </w:r>
    </w:p>
    <w:p w:rsidR="008B3577" w:rsidRPr="0083273D" w:rsidRDefault="002978ED">
      <w:pPr>
        <w:pStyle w:val="Default"/>
        <w:spacing w:line="320" w:lineRule="exact"/>
        <w:ind w:firstLine="708"/>
        <w:jc w:val="both"/>
        <w:rPr>
          <w:color w:val="000000" w:themeColor="text1"/>
        </w:rPr>
      </w:pPr>
      <w:r w:rsidRPr="002978ED">
        <w:rPr>
          <w:color w:val="000000" w:themeColor="text1"/>
        </w:rPr>
        <w:t>Ďalšie druhy podpôr v roku 2015, ktoré boli poskytnuté  v sektore  sú vo forme sendvičového modelu, ktorý pozostáva  z  jednotnej platby na plochu (SAPS),  viazanej platby na druhy ovocia a zeleniny s vysokou a veľmi vysokou prácnosťou,  platby na greening, platby pre mladých poľnohospodárov, platby na znevýhodnené oblasti.  V rámci Programu rozvoja vidieka na roky 2014-2020 (PRV</w:t>
      </w:r>
      <w:r w:rsidR="00693F7F">
        <w:rPr>
          <w:color w:val="000000" w:themeColor="text1"/>
        </w:rPr>
        <w:t xml:space="preserve"> SR 2014-2020</w:t>
      </w:r>
      <w:r w:rsidRPr="002978ED">
        <w:rPr>
          <w:color w:val="000000" w:themeColor="text1"/>
        </w:rPr>
        <w:t xml:space="preserve">) je možné získať ďalšie platby v II. pilieri,  napr. najviac využívané ovocinármi a zeleninármi sú  na agroenvironmentálne-klimatické opatrenie (ak vykonávajú  integrovanú produkciu)  alebo na ekologické poľnohospodárstvo. </w:t>
      </w:r>
    </w:p>
    <w:p w:rsidR="008B3577" w:rsidRPr="0083273D" w:rsidRDefault="002978ED">
      <w:pPr>
        <w:spacing w:line="320" w:lineRule="exact"/>
        <w:ind w:firstLine="708"/>
        <w:jc w:val="both"/>
        <w:rPr>
          <w:color w:val="000000" w:themeColor="text1"/>
          <w:sz w:val="24"/>
          <w:lang w:val="sk-SK"/>
        </w:rPr>
      </w:pPr>
      <w:r w:rsidRPr="002978ED">
        <w:rPr>
          <w:color w:val="000000" w:themeColor="text1"/>
          <w:sz w:val="24"/>
          <w:lang w:val="sk-SK"/>
        </w:rPr>
        <w:t xml:space="preserve"> Mnohí pestovatelia sa zapájajú do výziev v PRV, investovanie do nových technológii bolo však značne obmedzené nepriaznivým vývojom na trhu v ostatných rokoch. </w:t>
      </w:r>
    </w:p>
    <w:p w:rsidR="00D3436B" w:rsidRPr="0083273D" w:rsidRDefault="002978ED" w:rsidP="00EE5BC3">
      <w:pPr>
        <w:pStyle w:val="Default"/>
        <w:spacing w:line="320" w:lineRule="exact"/>
        <w:jc w:val="both"/>
        <w:rPr>
          <w:color w:val="000000" w:themeColor="text1"/>
        </w:rPr>
      </w:pPr>
      <w:r w:rsidRPr="002978ED">
        <w:rPr>
          <w:color w:val="000000" w:themeColor="text1"/>
        </w:rPr>
        <w:t> </w:t>
      </w:r>
    </w:p>
    <w:p w:rsidR="008B3577" w:rsidRPr="0083273D" w:rsidRDefault="002978ED">
      <w:pPr>
        <w:spacing w:line="320" w:lineRule="exact"/>
        <w:ind w:firstLine="708"/>
        <w:jc w:val="both"/>
        <w:rPr>
          <w:color w:val="000000" w:themeColor="text1"/>
          <w:sz w:val="24"/>
          <w:lang w:val="sk-SK"/>
        </w:rPr>
      </w:pPr>
      <w:r w:rsidRPr="002978ED">
        <w:rPr>
          <w:color w:val="000000" w:themeColor="text1"/>
          <w:sz w:val="24"/>
          <w:lang w:val="sk-SK"/>
        </w:rPr>
        <w:t xml:space="preserve">V rámci opatrení SOPT Stabilizácia poľnohospodárstva a trhov s poľnohospodárskymi komoditami boli podľa nariadenia EP a R (EÚ) č. 1308/2015 a vykonávacieho nariadenia Komisie (EÚ) č. 543/2011 podporené 3 organizácie výrobcov s 25 pestovateľmi ovocia a zeleniny. Celková pomoc EÚ v roku 2015 predstavovala  899 905,51 €  na opatrenia riešené v schválených operačných programov v súlade s Národnou stratégiou pre operačné programy organizácií výrobcov v sektore ovocie a zelenina. V roku 2015 získali uznanie ďalšie 2 organizácie výrobcov pre prednostné pestovanie zeleniny.  </w:t>
      </w:r>
    </w:p>
    <w:p w:rsidR="00D3436B" w:rsidRPr="0083273D" w:rsidRDefault="00D3436B" w:rsidP="00EE5BC3">
      <w:pPr>
        <w:spacing w:line="320" w:lineRule="exact"/>
        <w:jc w:val="both"/>
        <w:rPr>
          <w:color w:val="000000" w:themeColor="text1"/>
          <w:sz w:val="24"/>
          <w:u w:val="single"/>
          <w:lang w:val="sk-SK"/>
        </w:rPr>
      </w:pPr>
    </w:p>
    <w:p w:rsidR="00D3436B" w:rsidRPr="0083273D" w:rsidRDefault="002978ED" w:rsidP="00EE5BC3">
      <w:pPr>
        <w:spacing w:line="320" w:lineRule="exact"/>
        <w:jc w:val="both"/>
        <w:rPr>
          <w:color w:val="000000" w:themeColor="text1"/>
          <w:sz w:val="24"/>
          <w:u w:val="single"/>
          <w:lang w:val="sk-SK"/>
        </w:rPr>
      </w:pPr>
      <w:r w:rsidRPr="002978ED">
        <w:rPr>
          <w:color w:val="000000" w:themeColor="text1"/>
          <w:sz w:val="24"/>
          <w:lang w:val="sk-SK"/>
        </w:rPr>
        <w:t xml:space="preserve">Opatrenie SOPT -  </w:t>
      </w:r>
      <w:r w:rsidRPr="002978ED">
        <w:rPr>
          <w:color w:val="000000" w:themeColor="text1"/>
          <w:sz w:val="24"/>
          <w:u w:val="single"/>
          <w:lang w:val="sk-SK"/>
        </w:rPr>
        <w:t xml:space="preserve">Program podpory konzumácie ovocia a zeleniny v školách – „Školské ovocie“ </w:t>
      </w:r>
    </w:p>
    <w:p w:rsidR="008B3577" w:rsidRPr="0083273D" w:rsidRDefault="002978ED">
      <w:pPr>
        <w:spacing w:line="320" w:lineRule="exact"/>
        <w:ind w:firstLine="708"/>
        <w:jc w:val="both"/>
        <w:rPr>
          <w:noProof/>
          <w:color w:val="000000" w:themeColor="text1"/>
          <w:sz w:val="24"/>
          <w:lang w:val="sk-SK"/>
        </w:rPr>
      </w:pPr>
      <w:r w:rsidRPr="002978ED">
        <w:rPr>
          <w:noProof/>
          <w:color w:val="000000" w:themeColor="text1"/>
          <w:sz w:val="24"/>
          <w:lang w:val="sk-SK"/>
        </w:rPr>
        <w:t xml:space="preserve">Program sa v SR úspešne uplatňuje od prijatia podmienok v EÚ, t. j.  od šk. roka 2009/2010. Ročný rozpočet sa vypočíta podľa počtu detí vo veku 6 – 10 rokov a pre SR je v závislosti od pridelenej národnej obálky EÚ.  Cieľová skupina v SR sú deti a žiaci materských a základných  škôl vo veku 3 – 15 rokov. Spôsobilé produkty ovocia a zeleniny sú ustanovené v  nariadení vlády SR č. 341/2009, v znení neskorších predpisov (nariadenia vlády č. 520/2010 a nariadenia vlády č. 201/2014) alebo  v aktuálnej národnej stratégii pre program. Informácie o programe sú každoročne aktualizované na web stránke  </w:t>
      </w:r>
      <w:hyperlink r:id="rId9" w:history="1">
        <w:r w:rsidRPr="002978ED">
          <w:rPr>
            <w:rStyle w:val="Hypertextovprepojenie"/>
            <w:noProof/>
            <w:color w:val="000000" w:themeColor="text1"/>
            <w:sz w:val="24"/>
            <w:lang w:val="sk-SK"/>
          </w:rPr>
          <w:t>www.skolskeovocie.sk</w:t>
        </w:r>
      </w:hyperlink>
      <w:r w:rsidRPr="002978ED">
        <w:rPr>
          <w:noProof/>
          <w:color w:val="000000" w:themeColor="text1"/>
          <w:sz w:val="24"/>
          <w:lang w:val="sk-SK"/>
        </w:rPr>
        <w:t>.</w:t>
      </w:r>
    </w:p>
    <w:p w:rsidR="008B3577" w:rsidRPr="0083273D" w:rsidRDefault="002978ED">
      <w:pPr>
        <w:spacing w:line="320" w:lineRule="exact"/>
        <w:ind w:left="1" w:firstLine="707"/>
        <w:jc w:val="both"/>
        <w:rPr>
          <w:color w:val="000000" w:themeColor="text1"/>
          <w:sz w:val="24"/>
          <w:lang w:val="sk-SK"/>
        </w:rPr>
      </w:pPr>
      <w:r w:rsidRPr="002978ED">
        <w:rPr>
          <w:noProof/>
          <w:color w:val="000000" w:themeColor="text1"/>
          <w:sz w:val="24"/>
          <w:lang w:val="sk-SK"/>
        </w:rPr>
        <w:t xml:space="preserve">V školskom roku 2014/2015 (6. rok trvania programu) predstavovala národná obálka SR zo zdrojov EÚ 3 001 526 €, z toho sa čerpalo </w:t>
      </w:r>
      <w:r w:rsidRPr="002978ED">
        <w:rPr>
          <w:bCs/>
          <w:color w:val="000000" w:themeColor="text1"/>
          <w:sz w:val="24"/>
          <w:lang w:val="sk-SK"/>
        </w:rPr>
        <w:t xml:space="preserve">99,4 %. </w:t>
      </w:r>
      <w:r w:rsidRPr="002978ED">
        <w:rPr>
          <w:noProof/>
          <w:color w:val="000000" w:themeColor="text1"/>
          <w:sz w:val="24"/>
          <w:lang w:val="sk-SK"/>
        </w:rPr>
        <w:t xml:space="preserve">Do programu sa zapojilo </w:t>
      </w:r>
      <w:r w:rsidRPr="002978ED">
        <w:rPr>
          <w:bCs/>
          <w:noProof/>
          <w:color w:val="000000" w:themeColor="text1"/>
          <w:sz w:val="24"/>
          <w:lang w:val="sk-SK"/>
        </w:rPr>
        <w:t xml:space="preserve">2 719 škôl a 494 829 detí a program zabezpečovalo 34 schválených dodávateľov.   Priemerné predpokladané náklady na 1 dieťa celkom predstavujú </w:t>
      </w:r>
      <w:r w:rsidRPr="002978ED">
        <w:rPr>
          <w:color w:val="000000" w:themeColor="text1"/>
          <w:sz w:val="24"/>
          <w:lang w:val="sk-SK"/>
        </w:rPr>
        <w:t xml:space="preserve">6,1 € vrátane sprievodných opatrení. V školskom roku 2015/2016 (7. rok trvania programu)  bolo priznané SR  zo zdrojov EÚ </w:t>
      </w:r>
      <w:r w:rsidRPr="002978ED">
        <w:rPr>
          <w:bCs/>
          <w:color w:val="000000" w:themeColor="text1"/>
          <w:sz w:val="24"/>
          <w:lang w:val="sk-SK"/>
        </w:rPr>
        <w:t xml:space="preserve">2 646 843 € a 500 000 € z národných zdrojov, predpokladané čerpanie vo výške 100 %. Do programu sa zapojilo </w:t>
      </w:r>
      <w:r w:rsidRPr="002978ED">
        <w:rPr>
          <w:color w:val="000000" w:themeColor="text1"/>
          <w:sz w:val="24"/>
          <w:lang w:val="sk-SK"/>
        </w:rPr>
        <w:t xml:space="preserve">2 963 škôl s 529 123 žiakmi a program zabezpečuje 38  schválených dodávateľov. Priemerné ročné náklady na 1 dieťa sú 7,83 €. Program sa realizuje, preto vyhodnotenie v tomto roku nie je ukončené. </w:t>
      </w:r>
    </w:p>
    <w:p w:rsidR="00D3436B" w:rsidRPr="0083273D" w:rsidRDefault="00D3436B" w:rsidP="00EE5BC3">
      <w:pPr>
        <w:spacing w:line="320" w:lineRule="exact"/>
        <w:jc w:val="both"/>
        <w:rPr>
          <w:color w:val="000000" w:themeColor="text1"/>
          <w:sz w:val="24"/>
          <w:lang w:val="sk-SK"/>
        </w:rPr>
      </w:pPr>
    </w:p>
    <w:p w:rsidR="008B3577" w:rsidRPr="0083273D" w:rsidRDefault="002978ED">
      <w:pPr>
        <w:spacing w:line="276" w:lineRule="auto"/>
        <w:ind w:left="360" w:hanging="360"/>
        <w:contextualSpacing/>
        <w:jc w:val="both"/>
        <w:rPr>
          <w:b/>
          <w:color w:val="000000" w:themeColor="text1"/>
          <w:sz w:val="24"/>
        </w:rPr>
      </w:pPr>
      <w:r w:rsidRPr="002978ED">
        <w:rPr>
          <w:b/>
          <w:color w:val="000000" w:themeColor="text1"/>
          <w:sz w:val="24"/>
          <w:lang w:val="sk-SK"/>
        </w:rPr>
        <w:lastRenderedPageBreak/>
        <w:t xml:space="preserve">Pestovanie viniča: </w:t>
      </w:r>
    </w:p>
    <w:p w:rsidR="008B3577" w:rsidRPr="0083273D" w:rsidRDefault="002978ED">
      <w:pPr>
        <w:pStyle w:val="listparagraph"/>
        <w:spacing w:after="0" w:line="320" w:lineRule="exact"/>
        <w:ind w:left="0" w:firstLine="360"/>
        <w:jc w:val="both"/>
        <w:rPr>
          <w:color w:val="000000" w:themeColor="text1"/>
          <w:sz w:val="24"/>
          <w:szCs w:val="24"/>
        </w:rPr>
      </w:pPr>
      <w:r w:rsidRPr="002978ED">
        <w:rPr>
          <w:rFonts w:ascii="Times New Roman" w:hAnsi="Times New Roman"/>
          <w:color w:val="000000" w:themeColor="text1"/>
          <w:sz w:val="24"/>
          <w:szCs w:val="24"/>
        </w:rPr>
        <w:t>Cieľ</w:t>
      </w:r>
      <w:r w:rsidRPr="002978ED">
        <w:rPr>
          <w:color w:val="000000" w:themeColor="text1"/>
          <w:sz w:val="24"/>
          <w:szCs w:val="24"/>
        </w:rPr>
        <w:t xml:space="preserve"> </w:t>
      </w:r>
      <w:r w:rsidRPr="002978ED">
        <w:rPr>
          <w:rFonts w:ascii="Times New Roman" w:hAnsi="Times New Roman"/>
          <w:color w:val="000000" w:themeColor="text1"/>
          <w:sz w:val="24"/>
          <w:szCs w:val="24"/>
          <w:u w:val="single"/>
        </w:rPr>
        <w:t xml:space="preserve">Ochrana vinohradov </w:t>
      </w:r>
      <w:r w:rsidRPr="002978ED">
        <w:rPr>
          <w:rFonts w:ascii="Times New Roman" w:hAnsi="Times New Roman"/>
          <w:color w:val="000000" w:themeColor="text1"/>
          <w:sz w:val="24"/>
          <w:szCs w:val="24"/>
        </w:rPr>
        <w:t xml:space="preserve"> bol čiastočne naplnený.</w:t>
      </w:r>
    </w:p>
    <w:p w:rsidR="008B3577" w:rsidRPr="0083273D" w:rsidRDefault="002978ED">
      <w:pPr>
        <w:spacing w:after="60" w:line="320" w:lineRule="exact"/>
        <w:ind w:firstLine="360"/>
        <w:jc w:val="both"/>
        <w:rPr>
          <w:bCs/>
          <w:color w:val="000000" w:themeColor="text1"/>
          <w:sz w:val="24"/>
          <w:szCs w:val="24"/>
          <w:lang w:val="sk-SK"/>
        </w:rPr>
      </w:pPr>
      <w:r w:rsidRPr="002978ED">
        <w:rPr>
          <w:color w:val="000000" w:themeColor="text1"/>
          <w:sz w:val="24"/>
          <w:szCs w:val="24"/>
          <w:lang w:val="sk-SK"/>
        </w:rPr>
        <w:t xml:space="preserve">Za účelom zabrániť znižovaniu výmery viníc ako významného druhu poľnohospodárskej pôdy, </w:t>
      </w:r>
      <w:r w:rsidRPr="002978ED">
        <w:rPr>
          <w:bCs/>
          <w:color w:val="000000" w:themeColor="text1"/>
          <w:sz w:val="24"/>
          <w:szCs w:val="24"/>
          <w:lang w:val="sk-SK"/>
        </w:rPr>
        <w:t>MPRV SR prijalo:</w:t>
      </w:r>
    </w:p>
    <w:p w:rsidR="008B3577" w:rsidRPr="0083273D" w:rsidRDefault="002978ED">
      <w:pPr>
        <w:pStyle w:val="Odsekzoznamu"/>
        <w:numPr>
          <w:ilvl w:val="0"/>
          <w:numId w:val="51"/>
        </w:numPr>
        <w:suppressAutoHyphens w:val="0"/>
        <w:autoSpaceDN/>
        <w:spacing w:after="60" w:line="320" w:lineRule="exact"/>
        <w:contextualSpacing/>
        <w:jc w:val="both"/>
        <w:rPr>
          <w:rFonts w:ascii="Times New Roman" w:hAnsi="Times New Roman"/>
          <w:color w:val="000000" w:themeColor="text1"/>
          <w:sz w:val="24"/>
          <w:szCs w:val="24"/>
        </w:rPr>
      </w:pPr>
      <w:r w:rsidRPr="002978ED">
        <w:rPr>
          <w:rFonts w:ascii="Times New Roman" w:hAnsi="Times New Roman"/>
          <w:bCs/>
          <w:color w:val="000000" w:themeColor="text1"/>
          <w:sz w:val="24"/>
          <w:szCs w:val="24"/>
        </w:rPr>
        <w:t>nariadenie vlády SR č. 326/2013 Z. z. z 10. októbra 2013, ktorým sa dopĺňa nariadenie vlády Slovenskej republiky č. 58/2013 Z. z. o odvodoch za odňatie a neoprávnený záber poľnohospodárskej pôdy –</w:t>
      </w:r>
      <w:r w:rsidRPr="002978ED">
        <w:rPr>
          <w:rFonts w:ascii="Times New Roman" w:hAnsi="Times New Roman"/>
          <w:color w:val="000000" w:themeColor="text1"/>
          <w:sz w:val="24"/>
          <w:szCs w:val="24"/>
        </w:rPr>
        <w:t xml:space="preserve"> zvýšila sa cena za trvalé odňatie vinohradov</w:t>
      </w:r>
      <w:r w:rsidRPr="002978ED">
        <w:rPr>
          <w:rFonts w:ascii="Times New Roman" w:hAnsi="Times New Roman"/>
          <w:bCs/>
          <w:color w:val="000000" w:themeColor="text1"/>
          <w:sz w:val="24"/>
          <w:szCs w:val="24"/>
        </w:rPr>
        <w:t xml:space="preserve"> od 40 – 100 €/m</w:t>
      </w:r>
      <w:r w:rsidRPr="002978ED">
        <w:rPr>
          <w:rFonts w:ascii="Times New Roman" w:hAnsi="Times New Roman"/>
          <w:bCs/>
          <w:color w:val="000000" w:themeColor="text1"/>
          <w:sz w:val="24"/>
          <w:szCs w:val="24"/>
          <w:vertAlign w:val="superscript"/>
        </w:rPr>
        <w:t>2</w:t>
      </w:r>
      <w:r w:rsidRPr="002978ED">
        <w:rPr>
          <w:rFonts w:ascii="Times New Roman" w:hAnsi="Times New Roman"/>
          <w:color w:val="000000" w:themeColor="text1"/>
          <w:sz w:val="24"/>
          <w:szCs w:val="24"/>
        </w:rPr>
        <w:t xml:space="preserve"> v závislosti od jednotlivých vinohradníckych oblastí; (platnosť od 1. 11. 2013),</w:t>
      </w:r>
    </w:p>
    <w:p w:rsidR="008B3577" w:rsidRPr="0083273D" w:rsidRDefault="002978ED">
      <w:pPr>
        <w:pStyle w:val="Odsekzoznamu"/>
        <w:numPr>
          <w:ilvl w:val="0"/>
          <w:numId w:val="51"/>
        </w:numPr>
        <w:suppressAutoHyphens w:val="0"/>
        <w:autoSpaceDN/>
        <w:spacing w:after="60" w:line="320" w:lineRule="exact"/>
        <w:contextualSpacing/>
        <w:jc w:val="both"/>
        <w:rPr>
          <w:rFonts w:ascii="Times New Roman" w:hAnsi="Times New Roman"/>
          <w:color w:val="000000" w:themeColor="text1"/>
          <w:sz w:val="24"/>
          <w:szCs w:val="24"/>
        </w:rPr>
      </w:pPr>
      <w:r w:rsidRPr="002978ED">
        <w:rPr>
          <w:rFonts w:ascii="Times New Roman" w:hAnsi="Times New Roman"/>
          <w:bCs/>
          <w:color w:val="000000" w:themeColor="text1"/>
          <w:sz w:val="24"/>
          <w:szCs w:val="24"/>
        </w:rPr>
        <w:t>zákon č. 34/2014 Z. z. z 28. januára 2014, ktorým sa mení a dopĺňa zákon č. 220/2004 Z. z. o ochrane a využívaní poľnohospodárskej pôdy – mal by</w:t>
      </w:r>
      <w:r w:rsidRPr="002978ED">
        <w:rPr>
          <w:rFonts w:ascii="Times New Roman" w:hAnsi="Times New Roman"/>
          <w:color w:val="000000" w:themeColor="text1"/>
          <w:sz w:val="24"/>
          <w:szCs w:val="24"/>
        </w:rPr>
        <w:t xml:space="preserve"> pôsobiť hlavne preventívne a to tak, že odradí prípadných záujemcov od využitia pôvodných viníc na nepoľnohospodárske účely nutnosťou posúdenia pri trvalom odňatí takýchto pozemkov o stanoviská odborných organizácií a samosprávnych orgánov, ktoré zabezpečia historickú kontinuitu a pripravovaný rozvoj regiónu (platnosť </w:t>
      </w:r>
      <w:r w:rsidRPr="002978ED">
        <w:rPr>
          <w:rFonts w:ascii="Times New Roman" w:hAnsi="Times New Roman"/>
          <w:bCs/>
          <w:color w:val="000000" w:themeColor="text1"/>
          <w:sz w:val="24"/>
          <w:szCs w:val="24"/>
        </w:rPr>
        <w:t>od 27. 2. 2014).</w:t>
      </w:r>
    </w:p>
    <w:p w:rsidR="008B3577" w:rsidRPr="0083273D" w:rsidRDefault="002978ED">
      <w:pPr>
        <w:spacing w:after="60" w:line="320" w:lineRule="exact"/>
        <w:jc w:val="both"/>
        <w:rPr>
          <w:color w:val="000000" w:themeColor="text1"/>
          <w:sz w:val="24"/>
          <w:szCs w:val="24"/>
          <w:lang w:val="sk-SK"/>
        </w:rPr>
      </w:pPr>
      <w:r w:rsidRPr="002978ED">
        <w:rPr>
          <w:bCs/>
          <w:color w:val="000000" w:themeColor="text1"/>
          <w:sz w:val="24"/>
          <w:szCs w:val="24"/>
          <w:lang w:val="sk-SK"/>
        </w:rPr>
        <w:t xml:space="preserve">V súčasnosti sa neuvažuje so zavedením ďalších opatrení na ochranu viníc. </w:t>
      </w:r>
    </w:p>
    <w:p w:rsidR="00D3436B" w:rsidRPr="0083273D" w:rsidRDefault="00D3436B" w:rsidP="00D3436B">
      <w:pPr>
        <w:pStyle w:val="listparagraph"/>
        <w:spacing w:after="0" w:line="240" w:lineRule="auto"/>
        <w:ind w:left="0"/>
        <w:jc w:val="both"/>
        <w:rPr>
          <w:rFonts w:ascii="Times New Roman" w:hAnsi="Times New Roman"/>
          <w:color w:val="000000" w:themeColor="text1"/>
          <w:sz w:val="24"/>
          <w:szCs w:val="24"/>
          <w:u w:val="single"/>
        </w:rPr>
      </w:pPr>
    </w:p>
    <w:p w:rsidR="00D3436B" w:rsidRPr="0083273D" w:rsidRDefault="002978ED" w:rsidP="00D3436B">
      <w:pPr>
        <w:pStyle w:val="listparagraph"/>
        <w:spacing w:after="0" w:line="240" w:lineRule="auto"/>
        <w:ind w:left="0"/>
        <w:jc w:val="both"/>
        <w:rPr>
          <w:rFonts w:ascii="Times New Roman" w:eastAsia="Times New Roman" w:hAnsi="Times New Roman"/>
          <w:color w:val="000000" w:themeColor="text1"/>
          <w:sz w:val="24"/>
          <w:szCs w:val="24"/>
          <w:u w:val="single"/>
        </w:rPr>
      </w:pPr>
      <w:r w:rsidRPr="002978ED">
        <w:rPr>
          <w:rFonts w:ascii="Times New Roman" w:hAnsi="Times New Roman"/>
          <w:color w:val="000000" w:themeColor="text1"/>
          <w:sz w:val="24"/>
          <w:szCs w:val="24"/>
          <w:u w:val="single"/>
        </w:rPr>
        <w:t xml:space="preserve">Zabezpečenie dostatku suroviny a </w:t>
      </w:r>
      <w:r w:rsidRPr="002978ED">
        <w:rPr>
          <w:rFonts w:ascii="Times New Roman" w:eastAsia="Times New Roman" w:hAnsi="Times New Roman"/>
          <w:color w:val="000000" w:themeColor="text1"/>
          <w:sz w:val="24"/>
          <w:szCs w:val="24"/>
          <w:u w:val="single"/>
        </w:rPr>
        <w:t>pokračovanie podpory využívania nástrojov na skvalitnenie produkcie hrozna </w:t>
      </w:r>
    </w:p>
    <w:p w:rsidR="008B3577" w:rsidRPr="0083273D" w:rsidRDefault="002978ED">
      <w:pPr>
        <w:autoSpaceDE w:val="0"/>
        <w:autoSpaceDN w:val="0"/>
        <w:adjustRightInd w:val="0"/>
        <w:spacing w:line="320" w:lineRule="exact"/>
        <w:ind w:firstLine="708"/>
        <w:jc w:val="both"/>
        <w:rPr>
          <w:color w:val="000000" w:themeColor="text1"/>
          <w:sz w:val="24"/>
          <w:lang w:val="sk-SK"/>
        </w:rPr>
      </w:pPr>
      <w:r w:rsidRPr="002978ED">
        <w:rPr>
          <w:color w:val="000000" w:themeColor="text1"/>
          <w:sz w:val="24"/>
          <w:lang w:val="sk-SK"/>
        </w:rPr>
        <w:t>V rámci SOT s vínom sa pokračuje v realizácii podporných opatrení v rámci Národného podporného programu (NPP) pre roky 2014 – 2018 (nové programové obdobie):</w:t>
      </w:r>
    </w:p>
    <w:p w:rsidR="008B3577" w:rsidRPr="0083273D" w:rsidRDefault="002978ED">
      <w:pPr>
        <w:autoSpaceDE w:val="0"/>
        <w:autoSpaceDN w:val="0"/>
        <w:adjustRightInd w:val="0"/>
        <w:spacing w:line="320" w:lineRule="exact"/>
        <w:jc w:val="both"/>
        <w:rPr>
          <w:color w:val="000000" w:themeColor="text1"/>
          <w:sz w:val="24"/>
          <w:lang w:val="sk-SK"/>
        </w:rPr>
      </w:pPr>
      <w:r w:rsidRPr="002978ED">
        <w:rPr>
          <w:color w:val="000000" w:themeColor="text1"/>
          <w:sz w:val="24"/>
          <w:lang w:val="sk-SK"/>
        </w:rPr>
        <w:t xml:space="preserve">Vo vinárskom roku 2014/2015 bola uskutočnená </w:t>
      </w:r>
      <w:r w:rsidRPr="002978ED">
        <w:rPr>
          <w:i/>
          <w:color w:val="000000" w:themeColor="text1"/>
          <w:sz w:val="24"/>
          <w:lang w:val="sk-SK"/>
        </w:rPr>
        <w:t>reštrukturalizácia vinohradov</w:t>
      </w:r>
      <w:r w:rsidRPr="002978ED">
        <w:rPr>
          <w:color w:val="000000" w:themeColor="text1"/>
          <w:sz w:val="24"/>
          <w:lang w:val="sk-SK"/>
        </w:rPr>
        <w:t xml:space="preserve"> na ploche 290,76 ha, na čo bola poskytnutá podpora vo výške 3 222 142,38 €. </w:t>
      </w:r>
    </w:p>
    <w:p w:rsidR="008B3577" w:rsidRPr="0083273D" w:rsidRDefault="002978ED">
      <w:pPr>
        <w:pStyle w:val="msolistparagraph0"/>
        <w:spacing w:line="320" w:lineRule="exact"/>
        <w:ind w:left="0" w:firstLine="708"/>
        <w:jc w:val="both"/>
        <w:rPr>
          <w:rFonts w:eastAsia="Calibri"/>
          <w:color w:val="000000" w:themeColor="text1"/>
          <w:lang w:eastAsia="en-US"/>
        </w:rPr>
      </w:pPr>
      <w:r w:rsidRPr="002978ED">
        <w:rPr>
          <w:rFonts w:eastAsia="Calibri"/>
          <w:color w:val="000000" w:themeColor="text1"/>
          <w:lang w:eastAsia="en-US"/>
        </w:rPr>
        <w:t xml:space="preserve">Pre opatrenie reštrukturalizácia podľa nového nariadenia vlády SR č. 63/2015 Z. z. o poskytovaní podpory v rámci spoločnej organizácie trhu s vínom (s účinnosťou od 1. apríla 2015) bola ustanovená minimálna plocha od 0,1 hektára. Z tohto dôvodu sa zvýšil počet žiadostí na obnovu malých a stredných vinohradníckych plôch vhodných na výrobu hrozna pre výrobu vína vyšších kategórií. Pestovatelia uplatňujúci reštrukturalizáciu na viacerých menších plochách v regiónoch s neujasnenými vlastníckymi vzťahmi k pozemkom preto mohli pristúpiť k obnove menších plôch pri využití pôdnych a klimatických podmienok pre jednotlivé odrody a systém pestovania v konkrétnej lokalite. </w:t>
      </w:r>
    </w:p>
    <w:p w:rsidR="008B3577" w:rsidRPr="0083273D" w:rsidRDefault="002978ED">
      <w:pPr>
        <w:pStyle w:val="msolistparagraph0"/>
        <w:spacing w:line="320" w:lineRule="exact"/>
        <w:ind w:left="0"/>
        <w:jc w:val="both"/>
        <w:rPr>
          <w:b/>
          <w:color w:val="000000" w:themeColor="text1"/>
        </w:rPr>
      </w:pPr>
      <w:r w:rsidRPr="002978ED">
        <w:rPr>
          <w:rFonts w:eastAsia="Calibri"/>
          <w:color w:val="000000" w:themeColor="text1"/>
          <w:lang w:eastAsia="en-US"/>
        </w:rPr>
        <w:t xml:space="preserve">            Súčasne prichádza k optimalizácii počtu krov/ha v súlade s predpokladaným produktom požadovaným na trhu. Rovnako je zabezpečovaná výroba požadovaného produktu s nižšími prevádzkovými nákladmi a to znížením produkcie hrozna na jeden ker pri súčasnom zachovaní produkčného potenciálu. Zvýšením počtu krov viniča i prostredníctvom zmeny odrodovej skladby alebo presunu vinohradu na lepšiu lokalitu prichádza k optimálnemu využitiu prírodných podmienok.</w:t>
      </w:r>
      <w:r w:rsidRPr="002978ED">
        <w:rPr>
          <w:rFonts w:eastAsia="Calibri"/>
          <w:b/>
          <w:strike/>
          <w:color w:val="000000" w:themeColor="text1"/>
          <w:lang w:eastAsia="en-US"/>
        </w:rPr>
        <w:t xml:space="preserve"> </w:t>
      </w:r>
    </w:p>
    <w:p w:rsidR="008B3577" w:rsidRPr="0083273D" w:rsidRDefault="002978ED">
      <w:pPr>
        <w:pStyle w:val="msolistparagraph0"/>
        <w:spacing w:line="320" w:lineRule="exact"/>
        <w:ind w:left="0"/>
        <w:jc w:val="both"/>
        <w:rPr>
          <w:color w:val="000000" w:themeColor="text1"/>
        </w:rPr>
      </w:pPr>
      <w:r w:rsidRPr="002978ED">
        <w:rPr>
          <w:rFonts w:eastAsia="Calibri"/>
          <w:color w:val="000000" w:themeColor="text1"/>
          <w:lang w:eastAsia="en-US"/>
        </w:rPr>
        <w:t xml:space="preserve">            Pokračuje sa aj v trende ohľadne vysokého čerpania výhradne pre vinohrady s produkciou CHOP/CHZO (chránené označenie pôvodu a chránené zemepisné označenie). V SR sa v súčasnosti až 90 % produkcie vyrába v najvyššej kategórii CHOP/CHZO. Reštrukturalizované vinohrady vykazujú aj v náročných ročníkoch vyššiu odolnosť proti chorobám a škodcom a dosahujú výrazne vyššie výnosy a lepší zdravotný stav. V roku 2015 </w:t>
      </w:r>
      <w:r w:rsidRPr="002978ED">
        <w:rPr>
          <w:rFonts w:eastAsia="Calibri"/>
          <w:color w:val="000000" w:themeColor="text1"/>
          <w:lang w:eastAsia="en-US"/>
        </w:rPr>
        <w:lastRenderedPageBreak/>
        <w:t xml:space="preserve">bolo zreštrukturalizovaných vinohradov v spone minimálne 4 000 ks/ha až 95 %. </w:t>
      </w:r>
      <w:r w:rsidRPr="002978ED">
        <w:rPr>
          <w:color w:val="000000" w:themeColor="text1"/>
        </w:rPr>
        <w:t xml:space="preserve">Vo vinárskom roku 2014/2015 bolo tiež v rámci SOT vyplatených 159 853,62 € na opatrenie poistenie úrody na ploche 918,75 ha.  </w:t>
      </w:r>
    </w:p>
    <w:p w:rsidR="00D3436B" w:rsidRPr="0083273D" w:rsidRDefault="00D3436B" w:rsidP="00D3436B">
      <w:pPr>
        <w:pStyle w:val="listparagraph"/>
        <w:spacing w:after="0" w:line="240" w:lineRule="auto"/>
        <w:ind w:left="0"/>
        <w:jc w:val="both"/>
        <w:rPr>
          <w:rFonts w:ascii="Times New Roman" w:hAnsi="Times New Roman"/>
          <w:color w:val="000000" w:themeColor="text1"/>
          <w:sz w:val="24"/>
          <w:szCs w:val="24"/>
          <w:u w:val="single"/>
        </w:rPr>
      </w:pPr>
    </w:p>
    <w:p w:rsidR="00D3436B" w:rsidRPr="0083273D" w:rsidRDefault="002978ED" w:rsidP="00D3436B">
      <w:pPr>
        <w:pStyle w:val="listparagraph"/>
        <w:spacing w:after="0" w:line="240" w:lineRule="auto"/>
        <w:ind w:left="0"/>
        <w:jc w:val="both"/>
        <w:rPr>
          <w:rFonts w:ascii="Times New Roman" w:hAnsi="Times New Roman"/>
          <w:color w:val="000000" w:themeColor="text1"/>
          <w:sz w:val="24"/>
          <w:szCs w:val="24"/>
          <w:u w:val="single"/>
        </w:rPr>
      </w:pPr>
      <w:r w:rsidRPr="002978ED">
        <w:rPr>
          <w:rFonts w:ascii="Times New Roman" w:hAnsi="Times New Roman"/>
          <w:color w:val="000000" w:themeColor="text1"/>
          <w:sz w:val="24"/>
          <w:szCs w:val="24"/>
          <w:u w:val="single"/>
        </w:rPr>
        <w:t>Zlepšenie postavenia domácich vín na trhu</w:t>
      </w:r>
    </w:p>
    <w:p w:rsidR="008B3577" w:rsidRPr="0083273D" w:rsidRDefault="002978ED">
      <w:pPr>
        <w:pStyle w:val="listparagraph"/>
        <w:spacing w:after="0" w:line="320" w:lineRule="exact"/>
        <w:ind w:left="0" w:firstLine="708"/>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V rámci NPP na roky 2014 – 2018 pokračovala realizácia čiastkového opatrenia na podporu investícií – vnútorné vybavenie prezentačných priestorov a zmenilo sa čiastkové opatrenie týkajúce sa podpory pri transparentnejšom spôsobe označovania vín na etiketách.</w:t>
      </w:r>
    </w:p>
    <w:p w:rsidR="008B3577" w:rsidRPr="0083273D" w:rsidRDefault="002978ED">
      <w:pPr>
        <w:autoSpaceDE w:val="0"/>
        <w:autoSpaceDN w:val="0"/>
        <w:adjustRightInd w:val="0"/>
        <w:spacing w:line="320" w:lineRule="exact"/>
        <w:ind w:firstLine="708"/>
        <w:jc w:val="both"/>
        <w:rPr>
          <w:color w:val="000000" w:themeColor="text1"/>
          <w:sz w:val="24"/>
          <w:szCs w:val="24"/>
          <w:lang w:val="sk-SK"/>
        </w:rPr>
      </w:pPr>
      <w:r w:rsidRPr="002978ED">
        <w:rPr>
          <w:color w:val="000000" w:themeColor="text1"/>
          <w:sz w:val="24"/>
          <w:szCs w:val="24"/>
          <w:lang w:val="sk-SK"/>
        </w:rPr>
        <w:t>Vo vinárskom roku 2014/2015 bolo vybudovaných 22 podnikových predajní, čím sa zvýšil objem predaja cez tento distribučný kanál a došlo k zvýšeniu diverzifikácie odbytu pre vinárov. Rovnako sa prejavil záujem (na základe počtu žiadostí - 24) o podporu pre dobrovoľný systém vysledovateľnosti vína ku konkrétnemu vinohradu, z ktorého hrozno pochádza. V roku 2015 bolo celkovo podporených približne 3 700 000 etikiet, resp. fliaš vína s Q</w:t>
      </w:r>
      <w:r w:rsidRPr="002978ED">
        <w:rPr>
          <w:rFonts w:ascii="Cambria Math" w:hAnsi="Cambria Math"/>
          <w:color w:val="000000" w:themeColor="text1"/>
          <w:sz w:val="24"/>
          <w:szCs w:val="24"/>
          <w:lang w:val="sk-SK"/>
        </w:rPr>
        <w:t>‐</w:t>
      </w:r>
      <w:r w:rsidRPr="002978ED">
        <w:rPr>
          <w:color w:val="000000" w:themeColor="text1"/>
          <w:sz w:val="24"/>
          <w:szCs w:val="24"/>
          <w:lang w:val="sk-SK"/>
        </w:rPr>
        <w:t xml:space="preserve">R kódmi informujúcimi o jednotlivých CHOP/CHZO. V rámci SOT za vinársky rok 2014/2015 bolo na opatrenie </w:t>
      </w:r>
      <w:r w:rsidRPr="002978ED">
        <w:rPr>
          <w:i/>
          <w:color w:val="000000" w:themeColor="text1"/>
          <w:sz w:val="24"/>
          <w:szCs w:val="24"/>
          <w:lang w:val="sk-SK"/>
        </w:rPr>
        <w:t xml:space="preserve">investície </w:t>
      </w:r>
      <w:r w:rsidRPr="002978ED">
        <w:rPr>
          <w:color w:val="000000" w:themeColor="text1"/>
          <w:sz w:val="24"/>
          <w:szCs w:val="24"/>
          <w:lang w:val="sk-SK"/>
        </w:rPr>
        <w:t>vyplatených 603 738,63 €.</w:t>
      </w:r>
    </w:p>
    <w:p w:rsidR="008B3577" w:rsidRPr="0083273D" w:rsidRDefault="008B3577">
      <w:pPr>
        <w:autoSpaceDE w:val="0"/>
        <w:autoSpaceDN w:val="0"/>
        <w:adjustRightInd w:val="0"/>
        <w:spacing w:line="320" w:lineRule="exact"/>
        <w:jc w:val="both"/>
        <w:rPr>
          <w:color w:val="000000" w:themeColor="text1"/>
          <w:sz w:val="24"/>
          <w:szCs w:val="24"/>
          <w:lang w:val="sk-SK"/>
        </w:rPr>
      </w:pPr>
    </w:p>
    <w:p w:rsidR="008B3577" w:rsidRPr="0083273D" w:rsidRDefault="002978ED">
      <w:pPr>
        <w:pStyle w:val="odsek1"/>
        <w:keepNext w:val="0"/>
        <w:widowControl w:val="0"/>
        <w:numPr>
          <w:ilvl w:val="0"/>
          <w:numId w:val="0"/>
        </w:numPr>
        <w:tabs>
          <w:tab w:val="left" w:pos="567"/>
          <w:tab w:val="left" w:pos="993"/>
        </w:tabs>
        <w:suppressAutoHyphens/>
        <w:spacing w:before="0" w:after="60" w:line="320" w:lineRule="exact"/>
        <w:rPr>
          <w:color w:val="000000" w:themeColor="text1"/>
        </w:rPr>
      </w:pPr>
      <w:r w:rsidRPr="002978ED">
        <w:rPr>
          <w:b/>
          <w:color w:val="000000" w:themeColor="text1"/>
        </w:rPr>
        <w:tab/>
        <w:t>Od roku 2015</w:t>
      </w:r>
      <w:r w:rsidRPr="002978ED">
        <w:rPr>
          <w:color w:val="000000" w:themeColor="text1"/>
        </w:rPr>
        <w:t xml:space="preserve"> je vytvorená </w:t>
      </w:r>
      <w:r w:rsidRPr="002978ED">
        <w:rPr>
          <w:i/>
          <w:color w:val="000000" w:themeColor="text1"/>
        </w:rPr>
        <w:t>nová možnosť podpory na propagáciu v členských štátoch</w:t>
      </w:r>
      <w:r w:rsidRPr="002978ED">
        <w:rPr>
          <w:color w:val="000000" w:themeColor="text1"/>
        </w:rPr>
        <w:t xml:space="preserve"> v zmysle nových pravidiel v rámci SOT. Opatrenie je zamerané na poskytovanie informácií spotrebiteľom vzhľadom na systém EÚ vzťahujúci sa na chránené označenia pôvodu a chránené zemepisné označenia, na zodpovednú konzumáciu vína a na riziká spojené s konzumáciou alkoholu formou informačnej kampane a účasti na podujatí, veľtrhu a výstave konaných na území SR alebo na území iného členského štátu. V roku 2015 bola schválená 1 žiadosť aj vzhľadom k podmienke oprávnenosti žiadateľa, ktorým môže byť  iba profesijná organizácia a organizácia etablovaná na území SR v sektore vinárstva, uznaná podľa § 24 zákona č. 313/2009 Z. z. o vinohradníctve a vinárstve v znení neskorších predpisov. </w:t>
      </w:r>
    </w:p>
    <w:p w:rsidR="008B3577" w:rsidRPr="0083273D" w:rsidRDefault="002978ED">
      <w:pPr>
        <w:autoSpaceDE w:val="0"/>
        <w:autoSpaceDN w:val="0"/>
        <w:adjustRightInd w:val="0"/>
        <w:spacing w:line="320" w:lineRule="exact"/>
        <w:jc w:val="both"/>
        <w:rPr>
          <w:color w:val="000000" w:themeColor="text1"/>
          <w:sz w:val="24"/>
          <w:szCs w:val="24"/>
          <w:lang w:val="sk-SK"/>
        </w:rPr>
      </w:pPr>
      <w:r w:rsidRPr="002978ED">
        <w:rPr>
          <w:color w:val="000000" w:themeColor="text1"/>
          <w:sz w:val="24"/>
          <w:szCs w:val="24"/>
          <w:lang w:val="sk-SK"/>
        </w:rPr>
        <w:t xml:space="preserve">V rámci SOT za vinársky rok 2014/2015 bolo na ďalšie opatrenie </w:t>
      </w:r>
      <w:r w:rsidRPr="002978ED">
        <w:rPr>
          <w:i/>
          <w:color w:val="000000" w:themeColor="text1"/>
          <w:sz w:val="24"/>
          <w:szCs w:val="24"/>
          <w:lang w:val="sk-SK"/>
        </w:rPr>
        <w:t>propagácie na trhoch tretích krajín</w:t>
      </w:r>
      <w:r w:rsidRPr="002978ED">
        <w:rPr>
          <w:color w:val="000000" w:themeColor="text1"/>
          <w:sz w:val="24"/>
          <w:szCs w:val="24"/>
          <w:lang w:val="sk-SK"/>
        </w:rPr>
        <w:t xml:space="preserve"> vyplatených 4 228,07 €.</w:t>
      </w:r>
    </w:p>
    <w:p w:rsidR="008B3577" w:rsidRPr="0083273D" w:rsidRDefault="002978ED">
      <w:pPr>
        <w:tabs>
          <w:tab w:val="left" w:pos="993"/>
          <w:tab w:val="left" w:pos="3960"/>
          <w:tab w:val="center" w:pos="6379"/>
        </w:tabs>
        <w:spacing w:after="120" w:line="320" w:lineRule="exact"/>
        <w:jc w:val="both"/>
        <w:rPr>
          <w:color w:val="000000" w:themeColor="text1"/>
          <w:sz w:val="24"/>
          <w:szCs w:val="24"/>
          <w:lang w:val="sk-SK"/>
        </w:rPr>
      </w:pPr>
      <w:r w:rsidRPr="002978ED">
        <w:rPr>
          <w:color w:val="000000" w:themeColor="text1"/>
          <w:sz w:val="24"/>
          <w:szCs w:val="24"/>
          <w:lang w:val="sk-SK"/>
        </w:rPr>
        <w:tab/>
        <w:t xml:space="preserve">Sektor vinohradníctva a vinárstva si zachováva sa trend výroby vín najvyššej kvality (chránené označenie pôvodu, chránené zemepisné označenie), ktorá tvorí viac ako 85- 90 % celkovej produkcie. Menej ako 10 % produkcie tvorí produkcia vina bez zemepisného označenia. Vzhľadom na takto zameranú výrobu vinári spracovávajú takmer výlučne slovenské hrozno. Pokles v produkcii hrozna pri zvýšenej ploche v roku 2015 je spôsobený väčším nárastom novej výsadby z dôvodu uplatňovania podpory na reštrukturalizáciu vinohradov. </w:t>
      </w:r>
    </w:p>
    <w:p w:rsidR="008B3577" w:rsidRPr="0083273D" w:rsidRDefault="008B3577">
      <w:pPr>
        <w:spacing w:line="276" w:lineRule="auto"/>
        <w:ind w:left="360" w:hanging="360"/>
        <w:contextualSpacing/>
        <w:jc w:val="both"/>
        <w:rPr>
          <w:b/>
          <w:color w:val="000000" w:themeColor="text1"/>
          <w:lang w:val="sk-SK"/>
        </w:rPr>
      </w:pPr>
    </w:p>
    <w:p w:rsidR="008B3577" w:rsidRPr="0083273D" w:rsidRDefault="002978ED">
      <w:pPr>
        <w:spacing w:line="320" w:lineRule="exact"/>
        <w:ind w:left="360" w:hanging="360"/>
        <w:contextualSpacing/>
        <w:jc w:val="both"/>
        <w:rPr>
          <w:b/>
          <w:color w:val="000000" w:themeColor="text1"/>
          <w:sz w:val="24"/>
          <w:szCs w:val="24"/>
        </w:rPr>
      </w:pPr>
      <w:r w:rsidRPr="002978ED">
        <w:rPr>
          <w:b/>
          <w:color w:val="000000" w:themeColor="text1"/>
          <w:sz w:val="24"/>
          <w:szCs w:val="24"/>
          <w:lang w:val="sk-SK"/>
        </w:rPr>
        <w:t xml:space="preserve">Pestovanie chmeľu: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Podpornými nástrojmi aj vo forme platby na pestovanie chmeľu podľa nariadenia vlády SR č. 36/2015 Z. z. sa podarilo odvrátiť ďalšie klesanie výmery chmeľníc. Odbytové združenie Slovchmeľ, Horná Streda ako aj samotné chmeliarske subjekty pripravujú projekty k príslušným výzvam PRV 2014 – 2020 k obnove genetického materiálu chmeľníc, ktorý už dosluhuje a dosahuje aj desať rokov. Stále pretrváva zvýšené odvodové zaťaženie chmeliarskych subjektov pri zamestnávaní pracovníkov na dohodu o pracovnej činnosti pri založení porastov a zbere chmeľu. </w:t>
      </w:r>
    </w:p>
    <w:p w:rsidR="008B3577" w:rsidRPr="0083273D" w:rsidRDefault="008B3577">
      <w:pPr>
        <w:spacing w:line="320" w:lineRule="exact"/>
        <w:ind w:left="360" w:hanging="360"/>
        <w:contextualSpacing/>
        <w:jc w:val="both"/>
        <w:rPr>
          <w:color w:val="000000" w:themeColor="text1"/>
          <w:sz w:val="24"/>
          <w:szCs w:val="24"/>
          <w:lang w:val="sk-SK"/>
        </w:rPr>
      </w:pPr>
    </w:p>
    <w:p w:rsidR="008B3577" w:rsidRPr="0083273D" w:rsidRDefault="002978ED">
      <w:pPr>
        <w:spacing w:line="320" w:lineRule="exact"/>
        <w:ind w:left="360" w:hanging="360"/>
        <w:contextualSpacing/>
        <w:jc w:val="both"/>
        <w:rPr>
          <w:b/>
          <w:color w:val="000000" w:themeColor="text1"/>
          <w:sz w:val="24"/>
          <w:szCs w:val="24"/>
        </w:rPr>
      </w:pPr>
      <w:r w:rsidRPr="002978ED">
        <w:rPr>
          <w:b/>
          <w:color w:val="000000" w:themeColor="text1"/>
          <w:sz w:val="24"/>
          <w:szCs w:val="24"/>
          <w:lang w:val="sk-SK"/>
        </w:rPr>
        <w:t xml:space="preserve">Pestovanie cukrovej repy a zemiakov: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Sektor cukru čelí enormnému cenovému tlaku, v ktorom priemerné ceny kvótovaného bieleho cukru v EÚ za posledné 3 hospodárske roky dramaticky poklesli z úrovne 738 €/t (január 2013) na úroveň 427 €/t (február 2016), čo predstavuje pokles o viac ako 40 %. Cielená miera produkčnej výkonnosti na úrovni 80 % v tejto komodite môže byť za takýchto okolností trvalo dosahovaná len poskytovaním viazanej platby na pestovanie cukrovej repy, ktorá kompenzuje stratu v sektore spôsobenú poklesom cien cukru. V súlade s Akčným plánom rozvoja pôdohospodárstva SR na roky 2014-2020 prijatého dňa 22. 1. 2014 na rokovaní vlády SR sa má  zabezpečiť vyváženosť cukornej vertikály zachovaním súčasnej výšky podpôr na pestovanie cukrovej repy od roku 2015 sumou €/ha. Bez tejto podpory by  pestovanie cukrovej repy pri súčasných nízkych cenách cukru bolo nerentabilné, výrobné náklady by prevyšovali výnosy z jej pestovania a došlo by k ukončeniu jej pestovania na Slovensku. </w:t>
      </w:r>
    </w:p>
    <w:p w:rsidR="008B3577" w:rsidRPr="0083273D" w:rsidRDefault="008B3577">
      <w:pPr>
        <w:spacing w:line="320" w:lineRule="exact"/>
        <w:jc w:val="both"/>
        <w:rPr>
          <w:b/>
          <w:color w:val="000000" w:themeColor="text1"/>
          <w:sz w:val="24"/>
          <w:szCs w:val="24"/>
          <w:u w:val="single"/>
          <w:lang w:val="sk-SK"/>
        </w:rPr>
      </w:pP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Úlohu z koncepcie, ktorou sa mali navýšiť zberové plochy zemiakov o 743 ha, sa nedarí napĺňať. V sezóne 2011/2012 pestovateľské plochy zemiakov predstavovali 10 400 ha. V roku 2015 plochy zemiakov klesli na 7 400 ha, tento pokles bol väčší ako sa v tom čase predpokladalo. V roku 2016 sa očakáva ešte nižšia výmera pestovania zemiakov ako v roku 2015.  Produkcia zemiakov v SR v roku 2015 predstavovala 150 000 ton, čo je o približne 67 000 ton menej ako v sezóne 2011/2012 kedy produkcia zemiakov predstavovala 217 300 ton. SR sa v roku 2015 dostala do prvej 15-ky dovozcov konzumných zemiakov vo svete.</w:t>
      </w:r>
    </w:p>
    <w:p w:rsidR="008B3577" w:rsidRPr="0083273D" w:rsidRDefault="008B3577">
      <w:pPr>
        <w:spacing w:line="320" w:lineRule="exact"/>
        <w:ind w:firstLine="360"/>
        <w:jc w:val="both"/>
        <w:rPr>
          <w:color w:val="000000" w:themeColor="text1"/>
          <w:sz w:val="24"/>
          <w:szCs w:val="24"/>
          <w:lang w:val="sk-SK"/>
        </w:rPr>
      </w:pPr>
    </w:p>
    <w:p w:rsidR="008B3577" w:rsidRPr="0083273D" w:rsidRDefault="002978ED">
      <w:pPr>
        <w:spacing w:after="120" w:line="320" w:lineRule="exact"/>
        <w:jc w:val="both"/>
        <w:rPr>
          <w:b/>
          <w:color w:val="000000" w:themeColor="text1"/>
          <w:sz w:val="24"/>
          <w:szCs w:val="22"/>
          <w:lang w:val="sk-SK"/>
        </w:rPr>
      </w:pPr>
      <w:r w:rsidRPr="002978ED">
        <w:rPr>
          <w:b/>
          <w:color w:val="000000" w:themeColor="text1"/>
          <w:sz w:val="24"/>
          <w:szCs w:val="22"/>
          <w:lang w:val="sk-SK"/>
        </w:rPr>
        <w:t>Sekcia potravinárstva a obchodu aj jej organizačné útvary v roku 2015 splnili a začali plniť nasledovné úlohy:</w:t>
      </w:r>
    </w:p>
    <w:p w:rsidR="00892EDC" w:rsidRPr="0083273D" w:rsidRDefault="002978ED" w:rsidP="00892EDC">
      <w:pPr>
        <w:autoSpaceDE w:val="0"/>
        <w:autoSpaceDN w:val="0"/>
        <w:spacing w:after="120" w:line="320" w:lineRule="exact"/>
        <w:jc w:val="both"/>
        <w:rPr>
          <w:b/>
          <w:i/>
          <w:color w:val="000000" w:themeColor="text1"/>
          <w:sz w:val="24"/>
          <w:szCs w:val="22"/>
          <w:lang w:val="sk-SK"/>
        </w:rPr>
      </w:pPr>
      <w:r w:rsidRPr="002978ED">
        <w:rPr>
          <w:b/>
          <w:i/>
          <w:color w:val="000000" w:themeColor="text1"/>
          <w:sz w:val="22"/>
          <w:szCs w:val="22"/>
          <w:lang w:val="sk-SK"/>
        </w:rPr>
        <w:t>„</w:t>
      </w:r>
      <w:r w:rsidRPr="002978ED">
        <w:rPr>
          <w:b/>
          <w:i/>
          <w:color w:val="000000" w:themeColor="text1"/>
          <w:sz w:val="24"/>
          <w:szCs w:val="22"/>
          <w:lang w:val="sk-SK"/>
        </w:rPr>
        <w:t>Podpora zlepšovania kvality výrobkov, ich marketingu a odbytu na nových trhoch, návrat k tradičným a regionálnym výrobkom“</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 xml:space="preserve">Podpora a zlepšovanie kvality výrobkov prostredníctvom Národného programu podpory poľnohospodárskych výrobkov a potravín „Značka kvality SK“ – program slúži na propagáciu potravín a poľnohospodárskych výrobkov, ktorým bola  na základe Komisie na posudzovanie Značky kvality SK udelená Značka kvality SK alebo Značka kvality SK GOLD. </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 xml:space="preserve">Marketing Značky kvality SK sa vykonáva prostredníctvom inzercie, rôznych promo akcí, súťaží, výstav a veľtrhov a iných komunikačných nástrojov na podporu poľnohospodárskych výrobkov a potravín so Značkou kvality SK. </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 xml:space="preserve">Počet výrobkov a výrobcov ocenených Značkou kvality SK z roka na rok rastie. Aktuálny počet výrobcov ocenených Značkou kvality SK  je 139 a výrobkov 1066. </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 xml:space="preserve">Finančné prostriedky určené na prezentáciu a propagáciu programu sú prideľované MPRV SR ročne na základe schválenej Stratégie budovania Značky kvality SK, ktorá bola schválená Vládou SR v decembri v roku 2014. Spolupráca v tejto oblasti bola v minulom roku podporovaná aj prostredníctvom obchodných reťazcov (promo akcie, súťaže).  </w:t>
      </w:r>
    </w:p>
    <w:p w:rsidR="00892EDC" w:rsidRPr="0083273D" w:rsidRDefault="00892EDC" w:rsidP="00892EDC">
      <w:pPr>
        <w:pStyle w:val="Odsekzoznamu"/>
        <w:spacing w:line="320" w:lineRule="exact"/>
        <w:jc w:val="both"/>
        <w:rPr>
          <w:rFonts w:ascii="Times New Roman" w:hAnsi="Times New Roman"/>
          <w:color w:val="000000" w:themeColor="text1"/>
          <w:sz w:val="24"/>
          <w:szCs w:val="24"/>
        </w:rPr>
      </w:pPr>
    </w:p>
    <w:p w:rsidR="00892EDC" w:rsidRPr="0083273D" w:rsidRDefault="002978ED" w:rsidP="00892EDC">
      <w:pPr>
        <w:autoSpaceDE w:val="0"/>
        <w:autoSpaceDN w:val="0"/>
        <w:spacing w:line="320" w:lineRule="exact"/>
        <w:jc w:val="both"/>
        <w:rPr>
          <w:b/>
          <w:i/>
          <w:color w:val="000000" w:themeColor="text1"/>
          <w:sz w:val="24"/>
          <w:szCs w:val="24"/>
          <w:lang w:val="sk-SK"/>
        </w:rPr>
      </w:pPr>
      <w:r w:rsidRPr="002978ED">
        <w:rPr>
          <w:b/>
          <w:i/>
          <w:color w:val="000000" w:themeColor="text1"/>
          <w:sz w:val="24"/>
          <w:szCs w:val="24"/>
          <w:lang w:val="sk-SK"/>
        </w:rPr>
        <w:lastRenderedPageBreak/>
        <w:t>„Zvýšenie podielu slovenských výrobkov na domácom trhu systematickou spoluprácou potravinárskeho priemyslu a obchodných systémov za pomoci komunikácie so spotrebiteľom“</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Sledovanie podielu slovenských výrobkov; spracovávanie a zverejňovanie informácií v súlade so zákonom o potravinách; následná komunikácia o výsledkoch monitoringu s odbornou samosprávou i obchodnými reťazcami.</w:t>
      </w:r>
    </w:p>
    <w:p w:rsidR="00892EDC" w:rsidRPr="0083273D" w:rsidRDefault="00892EDC" w:rsidP="00892EDC">
      <w:pPr>
        <w:pStyle w:val="Odsekzoznamu"/>
        <w:spacing w:line="320" w:lineRule="exact"/>
        <w:jc w:val="both"/>
        <w:rPr>
          <w:rFonts w:ascii="Times New Roman" w:hAnsi="Times New Roman"/>
          <w:color w:val="000000" w:themeColor="text1"/>
          <w:sz w:val="24"/>
          <w:szCs w:val="24"/>
        </w:rPr>
      </w:pPr>
    </w:p>
    <w:p w:rsidR="00892EDC" w:rsidRPr="0083273D" w:rsidRDefault="002978ED" w:rsidP="00892EDC">
      <w:pPr>
        <w:autoSpaceDE w:val="0"/>
        <w:autoSpaceDN w:val="0"/>
        <w:spacing w:line="320" w:lineRule="exact"/>
        <w:jc w:val="both"/>
        <w:rPr>
          <w:b/>
          <w:i/>
          <w:color w:val="000000" w:themeColor="text1"/>
          <w:sz w:val="24"/>
          <w:szCs w:val="24"/>
          <w:lang w:val="sk-SK"/>
        </w:rPr>
      </w:pPr>
      <w:r w:rsidRPr="002978ED">
        <w:rPr>
          <w:b/>
          <w:i/>
          <w:color w:val="000000" w:themeColor="text1"/>
          <w:sz w:val="24"/>
          <w:szCs w:val="24"/>
          <w:lang w:val="sk-SK"/>
        </w:rPr>
        <w:t>„Posilnenie vyjednávacej pozície prvovýrobcov a spracovateľov vo vertikále trhu s potravinami vytváraním odbytových a medziodvetvových organizácií“</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Príprava podkladov pre podpísanie Deklarácie Vyšehradskej štvorky V4+3 zo dňa 19. mája 2015, v ktorej sa deklaruje spoločné presadzovanie prijatia európskeho legislatívneho rámca v boji proti nekalým obchodným praktikám.</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Aktívna komunikácia so zástupcami obchodu o podpore slovenských výrobkov; vytváranie lepšej komunikácie medzi výrobcami a obchodom.</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Aktívne presadzovanie spoločnej európskej legislatívy v boji proti nekalým obchodným praktikám na pracovných stretnutiach expertov z členských štátov EÚ.</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Nekalé obchodné praktiky zadefinované ako súčasť priority SK PRES 2016 „Posilnenie postavenia poľnohospodárov v potravinovom dodávateľskom reťazci“.</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Príprava medzinárodnej odbornej konferencie na tému „Posilnenie postavenia poľnohospodárov v potravinovom dodávateľskom reťazci“, ktorá je plánovaná na 30. júna – 1. júla 2016 v Bratislave.</w:t>
      </w:r>
    </w:p>
    <w:p w:rsidR="00892EDC" w:rsidRPr="0083273D" w:rsidRDefault="00892EDC" w:rsidP="00892EDC">
      <w:pPr>
        <w:pStyle w:val="Odsekzoznamu"/>
        <w:autoSpaceDE w:val="0"/>
        <w:spacing w:line="320" w:lineRule="exact"/>
        <w:jc w:val="both"/>
        <w:rPr>
          <w:rFonts w:ascii="Times New Roman" w:hAnsi="Times New Roman"/>
          <w:color w:val="000000" w:themeColor="text1"/>
          <w:sz w:val="24"/>
          <w:szCs w:val="24"/>
        </w:rPr>
      </w:pPr>
    </w:p>
    <w:p w:rsidR="00892EDC" w:rsidRPr="0083273D" w:rsidRDefault="002978ED" w:rsidP="00892EDC">
      <w:pPr>
        <w:autoSpaceDE w:val="0"/>
        <w:autoSpaceDN w:val="0"/>
        <w:spacing w:line="320" w:lineRule="exact"/>
        <w:jc w:val="both"/>
        <w:rPr>
          <w:b/>
          <w:i/>
          <w:color w:val="000000" w:themeColor="text1"/>
          <w:sz w:val="24"/>
          <w:szCs w:val="24"/>
          <w:lang w:val="sk-SK"/>
        </w:rPr>
      </w:pPr>
      <w:r w:rsidRPr="002978ED">
        <w:rPr>
          <w:b/>
          <w:i/>
          <w:color w:val="000000" w:themeColor="text1"/>
          <w:sz w:val="24"/>
          <w:szCs w:val="24"/>
          <w:lang w:val="sk-SK"/>
        </w:rPr>
        <w:t>„Zvýšenie exportu a hľadanie nových exportných možností pre slovenské potravinárske výrobky s podporou štátu“</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Na národnej úrovni: na základe poradou vedenia ministerstva schváleného Kalendára veľtrhov a výstav pre aktuálny rok je stanovené, ktoré domáce a ale aj zahraničné veľtrhy a výstavy budú podporené prostredníctvom dotácie pre oprávnených žiadateľov - spracovateľov v potravinárskom priemysle. Aj takouto formou MPRV SR podporuje proexportné možnosti pre slovenské potravinárske výrobky v rámci prezentácie na zahraničných výstavách a možnosť pre potravinárske výrobky presadiť sa na nových trhoch.</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Na EU úrovni: hľadanie nových trhov cestou uzatvárania dohôd o voľnom obchode a úsilie EK odstraňovať technické prekážky (najmä veterinárne a fytosanitárne) pre agrárny vývoz SR do trhov tretích krajín.</w:t>
      </w:r>
    </w:p>
    <w:p w:rsidR="00892EDC" w:rsidRPr="0083273D" w:rsidRDefault="00892EDC" w:rsidP="00892EDC">
      <w:pPr>
        <w:pStyle w:val="Odsekzoznamu"/>
        <w:autoSpaceDE w:val="0"/>
        <w:spacing w:line="320" w:lineRule="exact"/>
        <w:jc w:val="both"/>
        <w:rPr>
          <w:rFonts w:ascii="Times New Roman" w:hAnsi="Times New Roman"/>
          <w:color w:val="000000" w:themeColor="text1"/>
          <w:sz w:val="24"/>
          <w:szCs w:val="24"/>
        </w:rPr>
      </w:pPr>
    </w:p>
    <w:p w:rsidR="00892EDC" w:rsidRPr="0083273D" w:rsidRDefault="002978ED" w:rsidP="00892EDC">
      <w:pPr>
        <w:autoSpaceDE w:val="0"/>
        <w:autoSpaceDN w:val="0"/>
        <w:spacing w:line="320" w:lineRule="exact"/>
        <w:jc w:val="both"/>
        <w:rPr>
          <w:b/>
          <w:i/>
          <w:color w:val="000000" w:themeColor="text1"/>
          <w:sz w:val="24"/>
          <w:szCs w:val="24"/>
          <w:lang w:val="sk-SK"/>
        </w:rPr>
      </w:pPr>
      <w:r w:rsidRPr="002978ED">
        <w:rPr>
          <w:b/>
          <w:i/>
          <w:color w:val="000000" w:themeColor="text1"/>
          <w:sz w:val="24"/>
          <w:szCs w:val="24"/>
          <w:lang w:val="sk-SK"/>
        </w:rPr>
        <w:t>„Prehodnotenie možnosti zníženia DPH na základné potraviny“</w:t>
      </w:r>
    </w:p>
    <w:p w:rsidR="00892EDC" w:rsidRPr="0083273D" w:rsidRDefault="002978ED" w:rsidP="00892EDC">
      <w:pPr>
        <w:pStyle w:val="Odsekzoznamu"/>
        <w:numPr>
          <w:ilvl w:val="0"/>
          <w:numId w:val="47"/>
        </w:numPr>
        <w:suppressAutoHyphens w:val="0"/>
        <w:autoSpaceDN/>
        <w:spacing w:line="320" w:lineRule="exact"/>
        <w:ind w:left="426" w:hanging="426"/>
        <w:contextualSpacing/>
        <w:jc w:val="both"/>
        <w:rPr>
          <w:rFonts w:ascii="Times New Roman" w:hAnsi="Times New Roman"/>
          <w:color w:val="000000" w:themeColor="text1"/>
          <w:sz w:val="24"/>
          <w:szCs w:val="24"/>
        </w:rPr>
      </w:pPr>
      <w:r w:rsidRPr="002978ED">
        <w:rPr>
          <w:rFonts w:ascii="Times New Roman" w:hAnsi="Times New Roman"/>
          <w:color w:val="000000" w:themeColor="text1"/>
          <w:sz w:val="24"/>
          <w:szCs w:val="24"/>
        </w:rPr>
        <w:t>Spolupráca na tvorbe zoznamu potravín, u ktorých sa od 1. januára 2016 znížila DPH na 10% a realizácia monitoringu spotrebiteľských cien v súvislosti so zníženou DPH.</w:t>
      </w:r>
    </w:p>
    <w:p w:rsidR="00892EDC" w:rsidRPr="0083273D" w:rsidRDefault="00892EDC" w:rsidP="00892EDC">
      <w:pPr>
        <w:spacing w:line="320" w:lineRule="exact"/>
        <w:rPr>
          <w:color w:val="000000" w:themeColor="text1"/>
          <w:sz w:val="24"/>
          <w:szCs w:val="24"/>
          <w:lang w:val="sk-SK"/>
        </w:rPr>
      </w:pPr>
    </w:p>
    <w:p w:rsidR="001D47D3" w:rsidRPr="0083273D" w:rsidRDefault="002978ED" w:rsidP="001D47D3">
      <w:pPr>
        <w:spacing w:after="60" w:line="320" w:lineRule="exact"/>
        <w:jc w:val="both"/>
        <w:rPr>
          <w:b/>
          <w:bCs/>
          <w:color w:val="000000" w:themeColor="text1"/>
          <w:sz w:val="24"/>
          <w:szCs w:val="24"/>
          <w:u w:val="single"/>
          <w:lang w:val="sk-SK"/>
        </w:rPr>
      </w:pPr>
      <w:r w:rsidRPr="002978ED">
        <w:rPr>
          <w:b/>
          <w:bCs/>
          <w:color w:val="000000" w:themeColor="text1"/>
          <w:sz w:val="24"/>
          <w:szCs w:val="24"/>
          <w:u w:val="single"/>
          <w:lang w:val="sk-SK"/>
        </w:rPr>
        <w:t>Priame platby</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t xml:space="preserve">V rámci hlavných bodov Koncepcie boli v oblasti priamych platieb napĺňané nasledovné ciele: </w:t>
      </w:r>
    </w:p>
    <w:p w:rsidR="001D47D3" w:rsidRPr="0083273D" w:rsidRDefault="002978ED" w:rsidP="001D47D3">
      <w:pPr>
        <w:spacing w:after="60" w:line="320" w:lineRule="exact"/>
        <w:ind w:left="-360" w:firstLine="360"/>
        <w:jc w:val="both"/>
        <w:rPr>
          <w:b/>
          <w:color w:val="000000" w:themeColor="text1"/>
          <w:sz w:val="24"/>
          <w:szCs w:val="24"/>
          <w:lang w:val="sk-SK"/>
        </w:rPr>
      </w:pPr>
      <w:r w:rsidRPr="002978ED">
        <w:rPr>
          <w:b/>
          <w:color w:val="000000" w:themeColor="text1"/>
          <w:sz w:val="24"/>
          <w:szCs w:val="24"/>
          <w:lang w:val="sk-SK"/>
        </w:rPr>
        <w:t xml:space="preserve">Dobrovoľná viazaná podpora v rámci I. piliera </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lastRenderedPageBreak/>
        <w:t>S cieľom podporiť živočíšnu a špecializovanú rastlinnú výrobu je možné alokovať až 13 %  vnútroštátneho stropu priamych platieb na viacero podporných režimov viazaných  k aktuálnemu roku podania žiadosti a reálnej produkcii jednotiek žiadateľa. MPRV SR implementovalo desať schém viazaných priamych platieb, ktoré sa vyplácali v citlivých sektoroch poľnohospodárskej prvovýroby.</w:t>
      </w:r>
    </w:p>
    <w:p w:rsidR="001D47D3" w:rsidRPr="0083273D" w:rsidRDefault="001D47D3" w:rsidP="001D47D3">
      <w:pPr>
        <w:spacing w:after="60" w:line="320" w:lineRule="exact"/>
        <w:ind w:firstLine="708"/>
        <w:jc w:val="both"/>
        <w:rPr>
          <w:color w:val="000000" w:themeColor="text1"/>
          <w:sz w:val="24"/>
          <w:szCs w:val="24"/>
          <w:lang w:val="sk-SK"/>
        </w:rPr>
      </w:pPr>
    </w:p>
    <w:p w:rsidR="001D47D3" w:rsidRPr="0083273D" w:rsidRDefault="001D47D3" w:rsidP="001D47D3">
      <w:pPr>
        <w:spacing w:after="60" w:line="320" w:lineRule="exact"/>
        <w:ind w:firstLine="708"/>
        <w:jc w:val="both"/>
        <w:rPr>
          <w:color w:val="000000" w:themeColor="text1"/>
          <w:sz w:val="24"/>
          <w:szCs w:val="24"/>
          <w:lang w:val="sk-SK"/>
        </w:rPr>
      </w:pPr>
    </w:p>
    <w:p w:rsidR="001D47D3" w:rsidRPr="0083273D" w:rsidRDefault="002978ED" w:rsidP="001D47D3">
      <w:pPr>
        <w:spacing w:after="60" w:line="320" w:lineRule="exact"/>
        <w:jc w:val="both"/>
        <w:rPr>
          <w:b/>
          <w:color w:val="000000" w:themeColor="text1"/>
          <w:sz w:val="24"/>
          <w:szCs w:val="24"/>
          <w:lang w:val="sk-SK"/>
        </w:rPr>
      </w:pPr>
      <w:r w:rsidRPr="002978ED">
        <w:rPr>
          <w:b/>
          <w:color w:val="000000" w:themeColor="text1"/>
          <w:sz w:val="24"/>
          <w:szCs w:val="24"/>
          <w:lang w:val="sk-SK"/>
        </w:rPr>
        <w:t>Zabezpečenie financovania národných doplatkov k priamym platbám</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t xml:space="preserve">Financovanie národných doplatkov k priamym platbám na roky 2014 – 2020 je zabezpečené vo výške 19,1 mil. € ročne z rozpočtového zdroja I1a I2, za predpokladu ich nevyužitia na iný účel. </w:t>
      </w:r>
    </w:p>
    <w:p w:rsidR="001D47D3" w:rsidRPr="0083273D" w:rsidRDefault="002978ED" w:rsidP="001D47D3">
      <w:pPr>
        <w:spacing w:after="60" w:line="320" w:lineRule="exact"/>
        <w:jc w:val="both"/>
        <w:rPr>
          <w:b/>
          <w:color w:val="000000" w:themeColor="text1"/>
          <w:sz w:val="24"/>
          <w:szCs w:val="24"/>
          <w:lang w:val="sk-SK"/>
        </w:rPr>
      </w:pPr>
      <w:r w:rsidRPr="002978ED">
        <w:rPr>
          <w:b/>
          <w:color w:val="000000" w:themeColor="text1"/>
          <w:sz w:val="24"/>
          <w:szCs w:val="24"/>
          <w:lang w:val="sk-SK"/>
        </w:rPr>
        <w:t xml:space="preserve">Nový systém priamych platieb </w:t>
      </w:r>
    </w:p>
    <w:p w:rsidR="001D47D3" w:rsidRPr="0083273D" w:rsidRDefault="002978ED" w:rsidP="001D47D3">
      <w:pPr>
        <w:spacing w:after="60" w:line="320" w:lineRule="exact"/>
        <w:ind w:firstLine="360"/>
        <w:jc w:val="both"/>
        <w:rPr>
          <w:color w:val="000000" w:themeColor="text1"/>
          <w:sz w:val="24"/>
          <w:szCs w:val="24"/>
          <w:lang w:val="sk-SK"/>
        </w:rPr>
      </w:pPr>
      <w:r w:rsidRPr="002978ED">
        <w:rPr>
          <w:color w:val="000000" w:themeColor="text1"/>
          <w:sz w:val="24"/>
          <w:szCs w:val="24"/>
          <w:lang w:val="sk-SK"/>
        </w:rPr>
        <w:t xml:space="preserve">SR implementovala nový systém priamych platieb tvorený viaczložkovým systémom podpôr, ktorý kladie dôraz na udržateľné zlepšovanie vidieckeho životného prostredia  a podporu pre mladých poľnohospodárov. Základným prvkom aj naďalej zostáva jednotná platba na plochu (SAPS). Nová SPP má zároveň za cieľ motivovať poľnohospodárov klásť dôraz na ekologické aspekty poľnohospodárskej činnosti formou alokácie až 30% celkovej obálky priamych platieb na ekologizačnú platbu, ktorá je podmienená dodržiavaním povinných postupov prospešných pre klímu a životné prostredie. </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t>S cieľom podporiť omladenie v poľnohospodárskom sektore sa bude poskytovať aj platba pre mladých poľnohospodárov, ktorí prvýkrát zakladajú poľnohospodársky podnik.</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t>Uvedený systém priamych platieb oddelených od produkcie dopĺňa desať schém viazaných priamych platieb.</w:t>
      </w:r>
    </w:p>
    <w:p w:rsidR="001D47D3" w:rsidRPr="0083273D" w:rsidRDefault="001D47D3" w:rsidP="001D47D3">
      <w:pPr>
        <w:spacing w:after="60" w:line="320" w:lineRule="exact"/>
        <w:ind w:firstLine="708"/>
        <w:jc w:val="both"/>
        <w:rPr>
          <w:color w:val="000000" w:themeColor="text1"/>
          <w:sz w:val="24"/>
          <w:szCs w:val="24"/>
          <w:lang w:val="sk-SK"/>
        </w:rPr>
      </w:pPr>
    </w:p>
    <w:p w:rsidR="001D47D3" w:rsidRPr="0083273D" w:rsidRDefault="002978ED" w:rsidP="001D47D3">
      <w:pPr>
        <w:spacing w:after="60" w:line="320" w:lineRule="exact"/>
        <w:ind w:left="360" w:hanging="360"/>
        <w:jc w:val="both"/>
        <w:rPr>
          <w:b/>
          <w:color w:val="000000" w:themeColor="text1"/>
          <w:sz w:val="24"/>
          <w:szCs w:val="24"/>
          <w:lang w:val="sk-SK"/>
        </w:rPr>
      </w:pPr>
      <w:r w:rsidRPr="002978ED">
        <w:rPr>
          <w:b/>
          <w:color w:val="000000" w:themeColor="text1"/>
          <w:sz w:val="24"/>
          <w:szCs w:val="24"/>
          <w:lang w:val="sk-SK"/>
        </w:rPr>
        <w:t xml:space="preserve">Príprava legislatívy na programové obdobie 2014 – 2020 </w:t>
      </w:r>
    </w:p>
    <w:p w:rsidR="001D47D3" w:rsidRPr="0083273D" w:rsidRDefault="002978ED" w:rsidP="001D47D3">
      <w:pPr>
        <w:spacing w:after="60" w:line="320" w:lineRule="exact"/>
        <w:ind w:firstLine="360"/>
        <w:jc w:val="both"/>
        <w:rPr>
          <w:color w:val="000000" w:themeColor="text1"/>
          <w:sz w:val="24"/>
          <w:szCs w:val="24"/>
          <w:lang w:val="sk-SK"/>
        </w:rPr>
      </w:pPr>
      <w:r w:rsidRPr="002978ED">
        <w:rPr>
          <w:color w:val="000000" w:themeColor="text1"/>
          <w:sz w:val="24"/>
          <w:szCs w:val="24"/>
          <w:lang w:val="sk-SK"/>
        </w:rPr>
        <w:t>V roku 2015 v nadväznosti na finalizáciu reformy SPP na programové obdobie 2014-2020 sa sekcia rozvoja vidieka a priamych platieb MPRV SR podieľala na tvorbe európskeho legislatívneho rámca vo vzťahu k obom pilierom SPP.  MPRV SR následne pripravilo k novému európskemu právnemu rámcu príslušnú aproximačnú legislatívu, ktorou je nariadenie vlády SR č. 342/2014 Z. z., ktorým sa ustanovujú pravidlá poskytovania podpory v poľnohospodárstve v súvislosti so schémami oddelených priamych platieb v znení nariadenia vlády SR č. 76/2015 Z. z. a nariadenie vlády SR č. 36/2015 Z. z., ktorým sa ustanovujú pravidlá poskytovania podpory  v poľnohospodárstve v súvislosti so schémami viazaných priamych platieb.</w:t>
      </w:r>
    </w:p>
    <w:p w:rsidR="001D47D3" w:rsidRPr="0083273D" w:rsidRDefault="001D47D3" w:rsidP="001D47D3">
      <w:pPr>
        <w:spacing w:after="60" w:line="320" w:lineRule="exact"/>
        <w:jc w:val="both"/>
        <w:rPr>
          <w:color w:val="000000" w:themeColor="text1"/>
          <w:sz w:val="24"/>
          <w:szCs w:val="24"/>
          <w:lang w:val="sk-SK"/>
        </w:rPr>
      </w:pPr>
    </w:p>
    <w:p w:rsidR="001D47D3" w:rsidRPr="0083273D" w:rsidRDefault="002978ED" w:rsidP="001D47D3">
      <w:pPr>
        <w:spacing w:after="60" w:line="320" w:lineRule="exact"/>
        <w:jc w:val="both"/>
        <w:rPr>
          <w:b/>
          <w:bCs/>
          <w:color w:val="000000" w:themeColor="text1"/>
          <w:sz w:val="24"/>
          <w:szCs w:val="24"/>
          <w:u w:val="single"/>
          <w:lang w:val="sk-SK"/>
        </w:rPr>
      </w:pPr>
      <w:r w:rsidRPr="002978ED">
        <w:rPr>
          <w:b/>
          <w:bCs/>
          <w:color w:val="000000" w:themeColor="text1"/>
          <w:sz w:val="24"/>
          <w:szCs w:val="24"/>
          <w:u w:val="single"/>
          <w:lang w:val="sk-SK"/>
        </w:rPr>
        <w:t>Program rozvoja vidieka</w:t>
      </w:r>
    </w:p>
    <w:p w:rsidR="00A37E5A" w:rsidRPr="00A37E5A" w:rsidRDefault="002978ED" w:rsidP="00A37E5A">
      <w:pPr>
        <w:rPr>
          <w:b/>
          <w:sz w:val="24"/>
          <w:u w:val="single"/>
        </w:rPr>
      </w:pPr>
      <w:r w:rsidRPr="002978ED">
        <w:rPr>
          <w:b/>
          <w:sz w:val="24"/>
          <w:u w:val="single"/>
        </w:rPr>
        <w:t>Program rozvoja vidieka SR 2007-2013</w:t>
      </w:r>
    </w:p>
    <w:p w:rsidR="002978ED" w:rsidRPr="002978ED" w:rsidRDefault="002978ED" w:rsidP="002978ED">
      <w:pPr>
        <w:spacing w:line="300" w:lineRule="exact"/>
        <w:ind w:firstLine="709"/>
        <w:jc w:val="both"/>
        <w:rPr>
          <w:sz w:val="24"/>
        </w:rPr>
      </w:pPr>
      <w:r w:rsidRPr="002978ED">
        <w:rPr>
          <w:sz w:val="24"/>
        </w:rPr>
        <w:t xml:space="preserve">K napĺňaniu cieľov, ktoré priamo prispievajú k plneniu úloh stanovených v Koncepcii rozvoja pôdohospodárstva SR na roky 2013 – 2020 (ďalej len „Koncepcia“), bola v roku 2015 v oblasti projektových podpôr vyhlásená výzva na predkladanie žiadostí o nenávratný </w:t>
      </w:r>
      <w:r w:rsidRPr="002978ED">
        <w:rPr>
          <w:sz w:val="24"/>
        </w:rPr>
        <w:lastRenderedPageBreak/>
        <w:t>finančný príspevok z Programu rozvoja vidieka SR 2007-2013 (ďalej len „PRV SR 2007-2013“):</w:t>
      </w:r>
    </w:p>
    <w:p w:rsidR="00A37E5A" w:rsidRPr="00F23F94" w:rsidRDefault="00A37E5A" w:rsidP="00A37E5A">
      <w:pPr>
        <w:pStyle w:val="Default"/>
        <w:numPr>
          <w:ilvl w:val="0"/>
          <w:numId w:val="16"/>
        </w:numPr>
        <w:spacing w:after="240" w:line="276" w:lineRule="auto"/>
        <w:ind w:left="284"/>
        <w:jc w:val="both"/>
        <w:rPr>
          <w:color w:val="auto"/>
        </w:rPr>
      </w:pPr>
      <w:r w:rsidRPr="00F23F94">
        <w:rPr>
          <w:color w:val="auto"/>
        </w:rPr>
        <w:t xml:space="preserve">Zabezpečenie produkčnej výkonnosti v nosných komoditách živočíšnej výroby na úrovni 80 % súčasnej spotreby obyvateľstva SR </w:t>
      </w:r>
    </w:p>
    <w:p w:rsidR="002978ED" w:rsidRDefault="00A37E5A" w:rsidP="002978ED">
      <w:pPr>
        <w:pStyle w:val="Default"/>
        <w:spacing w:line="276" w:lineRule="auto"/>
        <w:ind w:firstLine="708"/>
        <w:jc w:val="both"/>
        <w:rPr>
          <w:color w:val="000000" w:themeColor="text1"/>
        </w:rPr>
      </w:pPr>
      <w:r w:rsidRPr="00F23F94">
        <w:t>Dňa 22.04.2015  bola vyhlásená výzva č.</w:t>
      </w:r>
      <w:r w:rsidRPr="00F23F94">
        <w:rPr>
          <w:b/>
        </w:rPr>
        <w:t xml:space="preserve"> </w:t>
      </w:r>
      <w:r w:rsidRPr="00F23F94">
        <w:t>201</w:t>
      </w:r>
      <w:r>
        <w:t>5</w:t>
      </w:r>
      <w:r w:rsidRPr="00F23F94">
        <w:t xml:space="preserve">/PRV/36 na predkladanie žiadostí o nenávratný finančný príspevok v rámci </w:t>
      </w:r>
      <w:r w:rsidRPr="00F23F94">
        <w:rPr>
          <w:color w:val="000000" w:themeColor="text1"/>
        </w:rPr>
        <w:t xml:space="preserve">opatrenia </w:t>
      </w:r>
      <w:r w:rsidRPr="00F23F94">
        <w:t xml:space="preserve">1.1 Modernizácia fariem a žiadosti boli prijímané </w:t>
      </w:r>
      <w:r>
        <w:t xml:space="preserve">          </w:t>
      </w:r>
      <w:r w:rsidRPr="00F23F94">
        <w:rPr>
          <w:color w:val="000000" w:themeColor="text1"/>
        </w:rPr>
        <w:t xml:space="preserve">v termíne od </w:t>
      </w:r>
      <w:r w:rsidRPr="00F23F94">
        <w:t>29.</w:t>
      </w:r>
      <w:r>
        <w:t xml:space="preserve"> </w:t>
      </w:r>
      <w:r w:rsidRPr="00F23F94">
        <w:t>06.</w:t>
      </w:r>
      <w:r>
        <w:t xml:space="preserve"> </w:t>
      </w:r>
      <w:r w:rsidRPr="00F23F94">
        <w:t>2015 do 17.</w:t>
      </w:r>
      <w:r>
        <w:t xml:space="preserve"> </w:t>
      </w:r>
      <w:r w:rsidRPr="00F23F94">
        <w:t>07.</w:t>
      </w:r>
      <w:r>
        <w:t xml:space="preserve"> </w:t>
      </w:r>
      <w:r w:rsidRPr="00F23F94">
        <w:t>2015.</w:t>
      </w:r>
      <w:r w:rsidRPr="00F23F94">
        <w:rPr>
          <w:color w:val="000000" w:themeColor="text1"/>
        </w:rPr>
        <w:t xml:space="preserve"> Výzva bola prioritne zameraná na  obstaranie strojov v rámci živočíšnej a klasickej rastlinnej výrobe vrátane sektora liečivých rastlín, kde sa používa staršie technické a technologické vybavenie. </w:t>
      </w:r>
    </w:p>
    <w:p w:rsidR="00A37E5A" w:rsidRPr="00F23F94" w:rsidRDefault="00A37E5A" w:rsidP="00A37E5A">
      <w:pPr>
        <w:pStyle w:val="Default"/>
        <w:spacing w:line="276" w:lineRule="auto"/>
        <w:jc w:val="both"/>
        <w:rPr>
          <w:color w:val="000000" w:themeColor="text1"/>
        </w:rPr>
      </w:pPr>
    </w:p>
    <w:p w:rsidR="00A37E5A" w:rsidRPr="00F23F94" w:rsidRDefault="00A37E5A" w:rsidP="00A37E5A">
      <w:pPr>
        <w:pStyle w:val="Default"/>
        <w:spacing w:line="276" w:lineRule="auto"/>
        <w:ind w:firstLine="708"/>
        <w:jc w:val="both"/>
        <w:rPr>
          <w:color w:val="auto"/>
        </w:rPr>
      </w:pPr>
      <w:r w:rsidRPr="00F23F94">
        <w:rPr>
          <w:color w:val="auto"/>
        </w:rPr>
        <w:t xml:space="preserve">V rámci Európskeho poľnohospodárskeho fondu rozvoja vidieka (ďalej len „EPFRV“) </w:t>
      </w:r>
      <w:r w:rsidRPr="00F23F94">
        <w:rPr>
          <w:b/>
          <w:color w:val="auto"/>
        </w:rPr>
        <w:t>Pôdohospodárska platobná agentúra v roku 2015 poskytovala podpory PRV SR 2007 – 2013</w:t>
      </w:r>
      <w:r w:rsidRPr="00F23F94">
        <w:rPr>
          <w:color w:val="auto"/>
        </w:rPr>
        <w:t xml:space="preserve">, ktorý bol schválený EK 4. decembra 2007. Základným rámcom PRV SR 2007 – 2013 je Národný strategický plán SR 2007 – 2013, ktorý schválila vláda SR 6. decembra 2006 uznesením č. 1016/2006. Program je dokumentom národného charakteru, ktorého globálnym cieľom je multifunkčné poľnohospodárstvo, potravinárstvo, lesníctvo a udržateľný rozvoj vidieka. </w:t>
      </w:r>
    </w:p>
    <w:p w:rsidR="00A37E5A" w:rsidRPr="00F23F94" w:rsidRDefault="00A37E5A" w:rsidP="00A37E5A">
      <w:pPr>
        <w:pStyle w:val="Default"/>
        <w:spacing w:line="276" w:lineRule="auto"/>
        <w:rPr>
          <w:color w:val="auto"/>
        </w:rPr>
      </w:pPr>
    </w:p>
    <w:p w:rsidR="00A37E5A" w:rsidRPr="00F23F94" w:rsidRDefault="00A37E5A" w:rsidP="00A37E5A">
      <w:pPr>
        <w:pStyle w:val="Default"/>
        <w:spacing w:line="276" w:lineRule="auto"/>
        <w:ind w:firstLine="708"/>
        <w:jc w:val="both"/>
        <w:rPr>
          <w:color w:val="auto"/>
        </w:rPr>
      </w:pPr>
      <w:r w:rsidRPr="00F23F94">
        <w:rPr>
          <w:color w:val="auto"/>
        </w:rPr>
        <w:t>Ciele Koncepcie sú napĺňané prostredníctvom projektových opatrení</w:t>
      </w:r>
      <w:r>
        <w:rPr>
          <w:color w:val="auto"/>
        </w:rPr>
        <w:t xml:space="preserve"> PRV SR 2007 - 2013</w:t>
      </w:r>
      <w:r w:rsidRPr="00F23F94">
        <w:rPr>
          <w:color w:val="auto"/>
        </w:rPr>
        <w:t>:</w:t>
      </w:r>
    </w:p>
    <w:p w:rsidR="00A37E5A" w:rsidRPr="00F23F94" w:rsidRDefault="00A37E5A" w:rsidP="00A37E5A">
      <w:pPr>
        <w:pStyle w:val="Default"/>
        <w:spacing w:line="276" w:lineRule="auto"/>
        <w:jc w:val="both"/>
        <w:rPr>
          <w:b/>
          <w:color w:val="auto"/>
        </w:rPr>
      </w:pPr>
      <w:r w:rsidRPr="00F23F94">
        <w:rPr>
          <w:b/>
          <w:color w:val="auto"/>
        </w:rPr>
        <w:t>Os 1: Zvýšenie konkurencieschopnosti sektora poľnohospodárstva a lesného hospodárstva</w:t>
      </w:r>
    </w:p>
    <w:p w:rsidR="00A37E5A" w:rsidRPr="00F23F94" w:rsidRDefault="00A37E5A" w:rsidP="00A37E5A">
      <w:pPr>
        <w:pStyle w:val="Default"/>
        <w:spacing w:line="276" w:lineRule="auto"/>
        <w:jc w:val="both"/>
        <w:rPr>
          <w:color w:val="auto"/>
        </w:rPr>
      </w:pPr>
      <w:r w:rsidRPr="00F23F94">
        <w:rPr>
          <w:color w:val="auto"/>
        </w:rPr>
        <w:t>Opatrenie 1.1 Modernizácia fariem</w:t>
      </w:r>
    </w:p>
    <w:p w:rsidR="00A37E5A" w:rsidRPr="00F23F94" w:rsidRDefault="00A37E5A" w:rsidP="00A37E5A">
      <w:pPr>
        <w:pStyle w:val="Default"/>
        <w:spacing w:line="276" w:lineRule="auto"/>
        <w:jc w:val="both"/>
        <w:rPr>
          <w:color w:val="auto"/>
        </w:rPr>
      </w:pPr>
      <w:r w:rsidRPr="00F23F94">
        <w:rPr>
          <w:color w:val="auto"/>
        </w:rPr>
        <w:t>Opatrenie 1.2 Pridávanie hodnoty do poľnohospodárskych produktov a produktov lesného hospodárstva</w:t>
      </w:r>
    </w:p>
    <w:p w:rsidR="00A37E5A" w:rsidRPr="00F23F94" w:rsidRDefault="00A37E5A" w:rsidP="00A37E5A">
      <w:pPr>
        <w:pStyle w:val="Default"/>
        <w:spacing w:line="276" w:lineRule="auto"/>
        <w:jc w:val="both"/>
        <w:rPr>
          <w:color w:val="auto"/>
        </w:rPr>
      </w:pPr>
      <w:r w:rsidRPr="00F23F94">
        <w:rPr>
          <w:color w:val="auto"/>
        </w:rPr>
        <w:t>Opatrenie 1.3 Infraštruktúra týkajúca sa rozvoja a adaptácie poľnohospodárstva a lesného hospodárstva</w:t>
      </w:r>
    </w:p>
    <w:p w:rsidR="00A37E5A" w:rsidRPr="00F23F94" w:rsidRDefault="00A37E5A" w:rsidP="00A37E5A">
      <w:pPr>
        <w:pStyle w:val="Default"/>
        <w:spacing w:line="276" w:lineRule="auto"/>
        <w:jc w:val="both"/>
        <w:rPr>
          <w:color w:val="auto"/>
        </w:rPr>
      </w:pPr>
      <w:r w:rsidRPr="00F23F94">
        <w:rPr>
          <w:color w:val="auto"/>
        </w:rPr>
        <w:t>Opatrenie 1.4 Zvýšenie hospodárskej hodnoty lesov</w:t>
      </w:r>
    </w:p>
    <w:p w:rsidR="00A37E5A" w:rsidRPr="00F23F94" w:rsidRDefault="00A37E5A" w:rsidP="00A37E5A">
      <w:pPr>
        <w:pStyle w:val="Default"/>
        <w:spacing w:line="276" w:lineRule="auto"/>
        <w:jc w:val="both"/>
        <w:rPr>
          <w:color w:val="auto"/>
        </w:rPr>
      </w:pPr>
      <w:r w:rsidRPr="00F23F94">
        <w:rPr>
          <w:color w:val="auto"/>
        </w:rPr>
        <w:t>Opatrenie 1.5 Odbytové organizácie výrobcov</w:t>
      </w:r>
    </w:p>
    <w:p w:rsidR="00A37E5A" w:rsidRPr="00F23F94" w:rsidRDefault="00A37E5A" w:rsidP="00A37E5A">
      <w:pPr>
        <w:pStyle w:val="Default"/>
        <w:spacing w:line="276" w:lineRule="auto"/>
        <w:jc w:val="both"/>
        <w:rPr>
          <w:color w:val="auto"/>
        </w:rPr>
      </w:pPr>
      <w:r w:rsidRPr="00F23F94">
        <w:rPr>
          <w:color w:val="auto"/>
        </w:rPr>
        <w:t>Opatrenie 1.6 Odborné vzdelávanie a informačné aktivity</w:t>
      </w:r>
    </w:p>
    <w:p w:rsidR="00A37E5A" w:rsidRPr="00F23F94" w:rsidRDefault="00A37E5A" w:rsidP="00A37E5A">
      <w:pPr>
        <w:pStyle w:val="Default"/>
        <w:spacing w:line="276" w:lineRule="auto"/>
        <w:jc w:val="both"/>
        <w:rPr>
          <w:color w:val="auto"/>
        </w:rPr>
      </w:pPr>
      <w:r w:rsidRPr="00F23F94">
        <w:rPr>
          <w:color w:val="auto"/>
        </w:rPr>
        <w:t>Opatrenie 1.7 Využívanie poradenských služieb</w:t>
      </w:r>
    </w:p>
    <w:p w:rsidR="00A37E5A" w:rsidRPr="00F23F94" w:rsidRDefault="00A37E5A" w:rsidP="00A37E5A">
      <w:pPr>
        <w:pStyle w:val="Default"/>
        <w:spacing w:line="276" w:lineRule="auto"/>
        <w:jc w:val="both"/>
        <w:rPr>
          <w:b/>
          <w:color w:val="auto"/>
        </w:rPr>
      </w:pPr>
      <w:r w:rsidRPr="00F23F94">
        <w:rPr>
          <w:b/>
          <w:color w:val="auto"/>
        </w:rPr>
        <w:t>Os 2: Zlepšenie životného prostredia a krajiny</w:t>
      </w:r>
    </w:p>
    <w:p w:rsidR="00A37E5A" w:rsidRPr="00F23F94" w:rsidRDefault="00A37E5A" w:rsidP="00A37E5A">
      <w:pPr>
        <w:pStyle w:val="Default"/>
        <w:spacing w:line="276" w:lineRule="auto"/>
        <w:jc w:val="both"/>
        <w:rPr>
          <w:color w:val="auto"/>
        </w:rPr>
      </w:pPr>
      <w:r w:rsidRPr="00F23F94">
        <w:rPr>
          <w:color w:val="auto"/>
        </w:rPr>
        <w:t>Opatrenie 2.1. Obnova potenciálu lesného hospodárstva a zavedenie preventívnych opatrení</w:t>
      </w:r>
    </w:p>
    <w:p w:rsidR="00A37E5A" w:rsidRPr="00F23F94" w:rsidRDefault="00A37E5A" w:rsidP="00A37E5A">
      <w:pPr>
        <w:pStyle w:val="Default"/>
        <w:spacing w:line="276" w:lineRule="auto"/>
        <w:jc w:val="both"/>
        <w:rPr>
          <w:b/>
          <w:color w:val="auto"/>
        </w:rPr>
      </w:pPr>
      <w:r w:rsidRPr="00F23F94">
        <w:rPr>
          <w:b/>
          <w:color w:val="auto"/>
        </w:rPr>
        <w:t>Os 3: Kvalita života vo vidieckych oblastiach a diverzifikácia vidieckeho hospodárstva</w:t>
      </w:r>
    </w:p>
    <w:p w:rsidR="00A37E5A" w:rsidRPr="00F23F94" w:rsidRDefault="00A37E5A" w:rsidP="00A37E5A">
      <w:pPr>
        <w:pStyle w:val="Default"/>
        <w:spacing w:line="276" w:lineRule="auto"/>
        <w:jc w:val="both"/>
        <w:rPr>
          <w:color w:val="auto"/>
        </w:rPr>
      </w:pPr>
      <w:r w:rsidRPr="00F23F94">
        <w:rPr>
          <w:color w:val="auto"/>
        </w:rPr>
        <w:t>Opatrenie 3.1 Diverzifikácia smerom k nepoľnohospodárskym činnostiam</w:t>
      </w:r>
    </w:p>
    <w:p w:rsidR="00A37E5A" w:rsidRPr="00F23F94" w:rsidRDefault="00A37E5A" w:rsidP="00A37E5A">
      <w:pPr>
        <w:pStyle w:val="Default"/>
        <w:spacing w:line="276" w:lineRule="auto"/>
        <w:jc w:val="both"/>
        <w:rPr>
          <w:color w:val="auto"/>
        </w:rPr>
      </w:pPr>
      <w:r w:rsidRPr="00F23F94">
        <w:rPr>
          <w:color w:val="auto"/>
        </w:rPr>
        <w:t>Opatrenie 3.3 Vzdelávanie a informovanie</w:t>
      </w:r>
    </w:p>
    <w:p w:rsidR="00A37E5A" w:rsidRPr="00F23F94" w:rsidRDefault="00A37E5A" w:rsidP="00A37E5A">
      <w:pPr>
        <w:rPr>
          <w:b/>
          <w:u w:val="single"/>
        </w:rPr>
      </w:pPr>
    </w:p>
    <w:p w:rsidR="002978ED" w:rsidRPr="002978ED" w:rsidRDefault="002978ED" w:rsidP="002978ED">
      <w:pPr>
        <w:spacing w:line="320" w:lineRule="exact"/>
        <w:rPr>
          <w:b/>
          <w:sz w:val="22"/>
          <w:u w:val="single"/>
        </w:rPr>
      </w:pPr>
      <w:r w:rsidRPr="002978ED">
        <w:rPr>
          <w:b/>
          <w:sz w:val="22"/>
          <w:u w:val="single"/>
        </w:rPr>
        <w:t>Program rozvoja vidieka SR 2014 - 2020</w:t>
      </w:r>
    </w:p>
    <w:p w:rsidR="002978ED" w:rsidRPr="002978ED" w:rsidRDefault="002978ED" w:rsidP="002978ED">
      <w:pPr>
        <w:spacing w:line="320" w:lineRule="exact"/>
        <w:ind w:firstLine="708"/>
        <w:jc w:val="both"/>
        <w:rPr>
          <w:sz w:val="24"/>
          <w:lang w:val="sk-SK"/>
        </w:rPr>
      </w:pPr>
      <w:r w:rsidRPr="002978ED">
        <w:rPr>
          <w:sz w:val="24"/>
          <w:lang w:val="sk-SK"/>
        </w:rPr>
        <w:t xml:space="preserve">Program rozvoja vidieka SR 2014 – 2020 bol schválený Rozhodnutím EK č. C(2015) 831 zo dňa 13.02.2015. K 31.12.2015 bola v platnosti 1. verzia PRV SR 2014 – 2020. Celková suma verejných finančných prostriedkov predstavuje 2 079 595 129 EUR (EPFRV:  1 545 272 844 EUR, štátny rozpočet SR: 534 322 285 EUR). Dňa 18. 06. 2015 bol predložený EK návrh 1. modifikácie PRV SR 2014 - 2020. </w:t>
      </w:r>
    </w:p>
    <w:p w:rsidR="002978ED" w:rsidRPr="002978ED" w:rsidRDefault="002978ED" w:rsidP="002978ED">
      <w:pPr>
        <w:spacing w:line="320" w:lineRule="exact"/>
        <w:jc w:val="both"/>
        <w:rPr>
          <w:sz w:val="24"/>
          <w:lang w:val="sk-SK"/>
        </w:rPr>
      </w:pPr>
      <w:r w:rsidRPr="002978ED">
        <w:rPr>
          <w:sz w:val="24"/>
          <w:lang w:val="sk-SK"/>
        </w:rPr>
        <w:lastRenderedPageBreak/>
        <w:t>V oblasti projektových podpôr PRV SR 2014-2020 prebiehali prípravné práce na opatreniach, ktoré v rámci úloh Koncepcie prispejú k naplneniu cieľov:</w:t>
      </w:r>
    </w:p>
    <w:p w:rsidR="00A37E5A" w:rsidRPr="00F23F94" w:rsidRDefault="002978ED" w:rsidP="00A37E5A">
      <w:pPr>
        <w:pStyle w:val="Odsekzoznamu"/>
        <w:numPr>
          <w:ilvl w:val="0"/>
          <w:numId w:val="16"/>
        </w:numPr>
        <w:suppressAutoHyphens w:val="0"/>
        <w:autoSpaceDN/>
        <w:spacing w:after="200" w:line="276" w:lineRule="auto"/>
        <w:ind w:left="720"/>
        <w:contextualSpacing/>
        <w:jc w:val="both"/>
        <w:rPr>
          <w:rFonts w:ascii="Times New Roman" w:hAnsi="Times New Roman"/>
          <w:sz w:val="24"/>
          <w:szCs w:val="24"/>
        </w:rPr>
      </w:pPr>
      <w:r w:rsidRPr="002978ED">
        <w:rPr>
          <w:rFonts w:ascii="Times New Roman" w:hAnsi="Times New Roman"/>
          <w:sz w:val="24"/>
          <w:szCs w:val="24"/>
        </w:rPr>
        <w:t>Zvýšenie produkčnej výkonnosti v nosných poľnohospodárskych</w:t>
      </w:r>
      <w:r w:rsidR="00A37E5A" w:rsidRPr="00F23F94">
        <w:rPr>
          <w:rFonts w:ascii="Times New Roman" w:hAnsi="Times New Roman"/>
          <w:sz w:val="24"/>
          <w:szCs w:val="24"/>
        </w:rPr>
        <w:t xml:space="preserve"> </w:t>
      </w:r>
      <w:r w:rsidR="00A37E5A" w:rsidRPr="00F603F0">
        <w:rPr>
          <w:rFonts w:ascii="Times New Roman" w:hAnsi="Times New Roman"/>
          <w:sz w:val="24"/>
          <w:szCs w:val="24"/>
        </w:rPr>
        <w:t xml:space="preserve">komoditách </w:t>
      </w:r>
      <w:r w:rsidR="00A37E5A">
        <w:rPr>
          <w:rFonts w:ascii="Times New Roman" w:hAnsi="Times New Roman"/>
          <w:sz w:val="24"/>
          <w:szCs w:val="24"/>
        </w:rPr>
        <w:t xml:space="preserve">            </w:t>
      </w:r>
      <w:r w:rsidR="00A37E5A" w:rsidRPr="00F603F0">
        <w:rPr>
          <w:rFonts w:ascii="Times New Roman" w:hAnsi="Times New Roman"/>
          <w:sz w:val="24"/>
          <w:szCs w:val="24"/>
        </w:rPr>
        <w:t>na úroveň 80% súčasnej spotreby obyvateľstva na Slovensku</w:t>
      </w:r>
      <w:r w:rsidR="00A37E5A" w:rsidRPr="00F23F94">
        <w:rPr>
          <w:rFonts w:ascii="Times New Roman" w:hAnsi="Times New Roman"/>
          <w:sz w:val="24"/>
          <w:szCs w:val="24"/>
        </w:rPr>
        <w:t xml:space="preserve"> (opatrenie 4, 6, 16),</w:t>
      </w:r>
    </w:p>
    <w:p w:rsidR="00A37E5A" w:rsidRPr="00F603F0" w:rsidRDefault="00A37E5A" w:rsidP="00A37E5A">
      <w:pPr>
        <w:pStyle w:val="Odsekzoznamu"/>
        <w:numPr>
          <w:ilvl w:val="0"/>
          <w:numId w:val="16"/>
        </w:numPr>
        <w:suppressAutoHyphens w:val="0"/>
        <w:autoSpaceDN/>
        <w:spacing w:after="200" w:line="276" w:lineRule="auto"/>
        <w:ind w:left="720"/>
        <w:contextualSpacing/>
        <w:jc w:val="both"/>
        <w:rPr>
          <w:rFonts w:ascii="Times New Roman" w:hAnsi="Times New Roman"/>
          <w:sz w:val="24"/>
          <w:szCs w:val="24"/>
        </w:rPr>
      </w:pPr>
      <w:r w:rsidRPr="00F23F94">
        <w:rPr>
          <w:rFonts w:ascii="Times New Roman" w:hAnsi="Times New Roman"/>
          <w:sz w:val="24"/>
          <w:szCs w:val="24"/>
        </w:rPr>
        <w:t>Zabezpečenie trvalo udržateľného obhospodarovania lesov (opatrenie 4, 8),</w:t>
      </w:r>
    </w:p>
    <w:p w:rsidR="00A37E5A" w:rsidRPr="00F603F0" w:rsidRDefault="00A37E5A" w:rsidP="00A37E5A">
      <w:pPr>
        <w:pStyle w:val="Odsekzoznamu"/>
        <w:numPr>
          <w:ilvl w:val="0"/>
          <w:numId w:val="16"/>
        </w:numPr>
        <w:suppressAutoHyphens w:val="0"/>
        <w:autoSpaceDN/>
        <w:spacing w:after="200" w:line="276" w:lineRule="auto"/>
        <w:ind w:left="720"/>
        <w:contextualSpacing/>
        <w:jc w:val="both"/>
        <w:rPr>
          <w:rFonts w:ascii="Times New Roman" w:hAnsi="Times New Roman"/>
          <w:sz w:val="24"/>
          <w:szCs w:val="24"/>
        </w:rPr>
      </w:pPr>
      <w:r w:rsidRPr="00F23F94">
        <w:rPr>
          <w:rFonts w:ascii="Times New Roman" w:hAnsi="Times New Roman"/>
          <w:sz w:val="24"/>
          <w:szCs w:val="24"/>
        </w:rPr>
        <w:t>R</w:t>
      </w:r>
      <w:r w:rsidRPr="00F603F0">
        <w:rPr>
          <w:rFonts w:ascii="Times New Roman" w:hAnsi="Times New Roman"/>
          <w:sz w:val="24"/>
          <w:szCs w:val="24"/>
        </w:rPr>
        <w:t>ozvoj vidieka a zlepšenie životných podmienok a zamestnanosti vidieckeho obyvateľstva, predovšetkým prostredníctvom sektorov, ktoré sú potenciálnymi zdrojmi zamestnanosti a podpora živočíšnej výroby, špecializovanej rastlinnej výroby a podpora pre oblasť lesného hospodárstva</w:t>
      </w:r>
      <w:r w:rsidRPr="00F23F94">
        <w:rPr>
          <w:rFonts w:ascii="Times New Roman" w:hAnsi="Times New Roman"/>
          <w:sz w:val="24"/>
          <w:szCs w:val="24"/>
        </w:rPr>
        <w:t xml:space="preserve"> (Opatrenie 1, 2, 4, 6, 8, 16).</w:t>
      </w:r>
    </w:p>
    <w:p w:rsidR="00A37E5A" w:rsidRPr="00F23F94" w:rsidRDefault="00A37E5A" w:rsidP="00A37E5A"/>
    <w:p w:rsidR="00A37E5A" w:rsidRPr="00A37E5A" w:rsidRDefault="002978ED" w:rsidP="00A37E5A">
      <w:pPr>
        <w:ind w:firstLine="360"/>
        <w:rPr>
          <w:sz w:val="24"/>
          <w:lang w:val="sk-SK"/>
        </w:rPr>
      </w:pPr>
      <w:r w:rsidRPr="002978ED">
        <w:rPr>
          <w:sz w:val="24"/>
          <w:lang w:val="sk-SK"/>
        </w:rPr>
        <w:t xml:space="preserve">Tieto ciele sú napĺňané prostredníctvom projektových opatrení: </w:t>
      </w:r>
    </w:p>
    <w:p w:rsidR="00A37E5A" w:rsidRPr="00A37E5A" w:rsidRDefault="002978ED" w:rsidP="00A37E5A">
      <w:pPr>
        <w:pStyle w:val="Odsekzoznamu"/>
        <w:numPr>
          <w:ilvl w:val="0"/>
          <w:numId w:val="54"/>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Prenos znalostí a informačné akcie, </w:t>
      </w:r>
    </w:p>
    <w:p w:rsidR="00A37E5A" w:rsidRPr="00A37E5A" w:rsidRDefault="002978ED" w:rsidP="00A37E5A">
      <w:pPr>
        <w:pStyle w:val="Odsekzoznamu"/>
        <w:numPr>
          <w:ilvl w:val="0"/>
          <w:numId w:val="54"/>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Poradenské služby, služby pomoci pri riadení poľnohospodárskych podnikov               a výpomoci pre poľnohospodárske podniky, </w:t>
      </w:r>
    </w:p>
    <w:p w:rsidR="00A37E5A" w:rsidRPr="00A37E5A" w:rsidRDefault="002978ED" w:rsidP="00A37E5A">
      <w:pPr>
        <w:pStyle w:val="Odsekzoznamu"/>
        <w:numPr>
          <w:ilvl w:val="0"/>
          <w:numId w:val="55"/>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Investície do hmotného majetku, </w:t>
      </w:r>
    </w:p>
    <w:p w:rsidR="00A37E5A" w:rsidRPr="00A37E5A" w:rsidRDefault="002978ED" w:rsidP="00A37E5A">
      <w:pPr>
        <w:pStyle w:val="Odsekzoznamu"/>
        <w:numPr>
          <w:ilvl w:val="0"/>
          <w:numId w:val="55"/>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Obnova potenciálu poľnohospodárskej výroby poškodeného prírodnými katastrofami a katastrofickými udalosťami a zavedenie vhodných preventívnych opatrení, </w:t>
      </w:r>
    </w:p>
    <w:p w:rsidR="00A37E5A" w:rsidRPr="00A37E5A" w:rsidRDefault="002978ED" w:rsidP="00A37E5A">
      <w:pPr>
        <w:pStyle w:val="Odsekzoznamu"/>
        <w:numPr>
          <w:ilvl w:val="0"/>
          <w:numId w:val="55"/>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Rozvoj poľnohospodárskych podnikov a podnikateľskej činnosti, </w:t>
      </w:r>
    </w:p>
    <w:p w:rsidR="00A37E5A" w:rsidRPr="00A37E5A" w:rsidRDefault="002978ED" w:rsidP="00A37E5A">
      <w:pPr>
        <w:pStyle w:val="Odsekzoznamu"/>
        <w:numPr>
          <w:ilvl w:val="0"/>
          <w:numId w:val="58"/>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 xml:space="preserve">Investície do rozvoja lesných oblastí a zlepšenia životaschopnosti lesov, </w:t>
      </w:r>
    </w:p>
    <w:p w:rsidR="00A37E5A" w:rsidRPr="00A37E5A" w:rsidRDefault="002978ED" w:rsidP="00A37E5A">
      <w:pPr>
        <w:pStyle w:val="Odsekzoznamu"/>
        <w:numPr>
          <w:ilvl w:val="0"/>
          <w:numId w:val="56"/>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Spolupráca.</w:t>
      </w:r>
    </w:p>
    <w:p w:rsidR="00A37E5A" w:rsidRPr="00A37E5A" w:rsidRDefault="002978ED" w:rsidP="00A37E5A">
      <w:pPr>
        <w:ind w:firstLine="708"/>
        <w:rPr>
          <w:sz w:val="24"/>
          <w:lang w:val="sk-SK"/>
        </w:rPr>
      </w:pPr>
      <w:r w:rsidRPr="002978ED">
        <w:rPr>
          <w:sz w:val="24"/>
          <w:lang w:val="sk-SK"/>
        </w:rPr>
        <w:t>K napĺňaniu cieľov, ktoré priamo prispievajú k plneniu úloh stanovených v Koncepcii, boli v roku 2015 v oblasti projektových podpôr vyhlásené nasledovné výzvy z  PRV SR 2014 - 2020:</w:t>
      </w:r>
    </w:p>
    <w:p w:rsidR="00A37E5A" w:rsidRPr="00A37E5A" w:rsidRDefault="002978ED" w:rsidP="00A37E5A">
      <w:pPr>
        <w:pStyle w:val="Odsekzoznamu"/>
        <w:numPr>
          <w:ilvl w:val="0"/>
          <w:numId w:val="57"/>
        </w:numPr>
        <w:suppressAutoHyphens w:val="0"/>
        <w:autoSpaceDN/>
        <w:spacing w:after="200" w:line="276" w:lineRule="auto"/>
        <w:contextualSpacing/>
        <w:jc w:val="both"/>
        <w:rPr>
          <w:rFonts w:ascii="Times New Roman" w:hAnsi="Times New Roman"/>
          <w:sz w:val="24"/>
          <w:szCs w:val="24"/>
        </w:rPr>
      </w:pPr>
      <w:r w:rsidRPr="002978ED">
        <w:rPr>
          <w:rFonts w:ascii="Times New Roman" w:hAnsi="Times New Roman"/>
          <w:sz w:val="24"/>
          <w:szCs w:val="24"/>
        </w:rPr>
        <w:t>Výzva č. 1/PRV/2015 na predkladanie žiadostí o nenávratný finančný príspevok          v rámci podopatrenia 4.3 – Podpora na investície do infraštruktúry súvisiacej               s vývojom, modernizáciou alebo a prispôsobením poľnohospodárstva a lesného hospodárstva - E: Investície týkajúce sa infraštruktúry a prístupu k lesnej pôde bola vyhlásená 18. 05. 2015 a žiadosti boli prijímané v termíne od 31. 08. 2015 do 23. 10. 2015.</w:t>
      </w:r>
    </w:p>
    <w:p w:rsidR="00A37E5A" w:rsidRPr="00A37E5A" w:rsidRDefault="002978ED"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2978ED">
        <w:rPr>
          <w:rFonts w:ascii="Times New Roman" w:hAnsi="Times New Roman"/>
          <w:sz w:val="24"/>
          <w:szCs w:val="24"/>
        </w:rPr>
        <w:t>Výzva č. 2/PRV/2015 na predkladanie žiadostí o nenávratný finančný príspevok          v rámci podopatrenia 8.3 – Podpora na prevenciu škôd v lesoch spôsobených lesnými požiarmi a prírodnými katastrofami a katastrofickými udalosťami bola vyhlásená      18. 05. 2015</w:t>
      </w:r>
      <w:r w:rsidRPr="002978ED">
        <w:rPr>
          <w:rFonts w:ascii="Times New Roman" w:hAnsi="Times New Roman"/>
          <w:color w:val="FF0000"/>
          <w:sz w:val="24"/>
          <w:szCs w:val="24"/>
        </w:rPr>
        <w:t xml:space="preserve"> </w:t>
      </w:r>
      <w:r w:rsidRPr="002978ED">
        <w:rPr>
          <w:rFonts w:ascii="Times New Roman" w:hAnsi="Times New Roman"/>
          <w:sz w:val="24"/>
          <w:szCs w:val="24"/>
        </w:rPr>
        <w:t>a žiadosti boli prijímané v termíne od 31. 08. 2015 do 16. 10. 2015.</w:t>
      </w:r>
    </w:p>
    <w:p w:rsidR="00A37E5A" w:rsidRPr="00A37E5A" w:rsidRDefault="002978ED"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2978ED">
        <w:rPr>
          <w:rFonts w:ascii="Times New Roman" w:hAnsi="Times New Roman"/>
          <w:sz w:val="24"/>
          <w:szCs w:val="24"/>
        </w:rPr>
        <w:t>Výzva č. 3/PRV/2015 na predkladanie žiadostí o nenávratný finančný príspevok          v rámci podopatrenia 8.4 – Podpora na obnovu lesov poškodených lesnými požiarmi   a prírodnými katastrofami a katastrofickými udalosťami bola vyhlásená 22. 05. 2015  a žiadosti boli prijímané v termíne od 31. 08. 2015 do 02. 10. 2015.</w:t>
      </w:r>
    </w:p>
    <w:p w:rsidR="00A37E5A" w:rsidRPr="00A37E5A" w:rsidRDefault="002978ED"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2978ED">
        <w:rPr>
          <w:rFonts w:ascii="Times New Roman" w:hAnsi="Times New Roman"/>
          <w:sz w:val="24"/>
          <w:szCs w:val="24"/>
        </w:rPr>
        <w:t>Výzva č. 6/PRV/2015 na predkladanie žiadostí o nenávratný finančný príspevok          v rámci podopatrenia 4.1 – Podpora na investície do poľnohospodárskych podnikov - A: Investície do hmotného majetku prispievajúce k zlepšeniu konkurencieschopnosti, využívania vody a OZE v poľnohospodárstve bola vyhlásená 12</w:t>
      </w:r>
      <w:r w:rsidRPr="002978ED">
        <w:rPr>
          <w:rFonts w:ascii="Times New Roman" w:hAnsi="Times New Roman"/>
          <w:color w:val="FF0000"/>
          <w:sz w:val="24"/>
          <w:szCs w:val="24"/>
        </w:rPr>
        <w:t xml:space="preserve">. </w:t>
      </w:r>
      <w:r w:rsidRPr="002978ED">
        <w:rPr>
          <w:rFonts w:ascii="Times New Roman" w:hAnsi="Times New Roman"/>
          <w:sz w:val="24"/>
          <w:szCs w:val="24"/>
        </w:rPr>
        <w:t>06. 2015 a žiadosti boli prijímané v termíne od 02. 09. 2015 do 30. 10. 2015.</w:t>
      </w:r>
    </w:p>
    <w:p w:rsidR="00A37E5A" w:rsidRPr="00F603F0" w:rsidRDefault="002978ED"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2978ED">
        <w:rPr>
          <w:rFonts w:ascii="Times New Roman" w:hAnsi="Times New Roman"/>
          <w:sz w:val="24"/>
          <w:szCs w:val="24"/>
        </w:rPr>
        <w:lastRenderedPageBreak/>
        <w:t>Výzva č. 7/PRV/2015 na predkladanie žiadostí o nenávratný finančný príspevok          v rámci podopatrenia 6.4. – Podpora na investície do vytvárania a rozvoja nepoľnohospodárskych činností bola vy</w:t>
      </w:r>
      <w:r w:rsidR="00A37E5A" w:rsidRPr="00F603F0">
        <w:rPr>
          <w:rFonts w:ascii="Times New Roman" w:hAnsi="Times New Roman"/>
          <w:sz w:val="24"/>
          <w:szCs w:val="24"/>
        </w:rPr>
        <w:t>hlásená 19. 06. 2015 a žiadosti boli prijímané v termíne od 10. 09. 2015 do 21. 09. 2015.</w:t>
      </w:r>
    </w:p>
    <w:p w:rsidR="00A37E5A" w:rsidRPr="00F603F0" w:rsidRDefault="00A37E5A"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F603F0">
        <w:rPr>
          <w:rFonts w:ascii="Times New Roman" w:hAnsi="Times New Roman"/>
          <w:sz w:val="24"/>
          <w:szCs w:val="24"/>
        </w:rPr>
        <w:t xml:space="preserve">Výzva č. 8/PRV/2015 na predkladanie žiadostí o nenávratný finančný príspevok </w:t>
      </w:r>
      <w:r>
        <w:rPr>
          <w:rFonts w:ascii="Times New Roman" w:hAnsi="Times New Roman"/>
          <w:sz w:val="24"/>
          <w:szCs w:val="24"/>
        </w:rPr>
        <w:t xml:space="preserve">        </w:t>
      </w:r>
      <w:r w:rsidRPr="00F603F0">
        <w:rPr>
          <w:rFonts w:ascii="Times New Roman" w:hAnsi="Times New Roman"/>
          <w:sz w:val="24"/>
          <w:szCs w:val="24"/>
        </w:rPr>
        <w:t>v rámci podopatrenia 4.2 – Podpora pre investície na spracovanie/uvádzanie na trh a/alebo vývoj poľnohospodárskych výrobkov a prispievajúce - B: Investície do spracovania, uvádzania na trh, vývoja poľnohospodárskych výrobkov a prispievajúce k úsporám energetickej spotreby bola vyhlásená 29. 06. 2015 a žiadosti boli prijímané v termíne od 21. 09. 2015 do 29. 09. 2015.</w:t>
      </w:r>
    </w:p>
    <w:p w:rsidR="00A37E5A" w:rsidRPr="00F603F0" w:rsidRDefault="00A37E5A"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F603F0">
        <w:rPr>
          <w:rFonts w:ascii="Times New Roman" w:hAnsi="Times New Roman"/>
          <w:sz w:val="24"/>
          <w:szCs w:val="24"/>
        </w:rPr>
        <w:t xml:space="preserve">Výzva č. 9/PRV/2015 na predkladanie žiadostí o nenávratný finančný príspevok </w:t>
      </w:r>
      <w:r>
        <w:rPr>
          <w:rFonts w:ascii="Times New Roman" w:hAnsi="Times New Roman"/>
          <w:sz w:val="24"/>
          <w:szCs w:val="24"/>
        </w:rPr>
        <w:t xml:space="preserve">        </w:t>
      </w:r>
      <w:r w:rsidRPr="00F603F0">
        <w:rPr>
          <w:rFonts w:ascii="Times New Roman" w:hAnsi="Times New Roman"/>
          <w:sz w:val="24"/>
          <w:szCs w:val="24"/>
        </w:rPr>
        <w:t>v rámci podopatrenia 6.1 – Pomoc na začatie podnikateľskej činnosti pre mladých poľnohospodárov bola vyhlásená 15. 07. 2015 a žiadosti boli prijímané v termíne od 12. 10. 2015 do 08. 03. 2016.</w:t>
      </w:r>
    </w:p>
    <w:p w:rsidR="00A37E5A" w:rsidRPr="00F603F0" w:rsidRDefault="00A37E5A"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F603F0">
        <w:rPr>
          <w:rFonts w:ascii="Times New Roman" w:hAnsi="Times New Roman"/>
          <w:sz w:val="24"/>
          <w:szCs w:val="24"/>
        </w:rPr>
        <w:t xml:space="preserve">Výzva č. 11/PRV/2015 na predkladanie žiadostí o nenávratný finančný príspevok </w:t>
      </w:r>
      <w:r>
        <w:rPr>
          <w:rFonts w:ascii="Times New Roman" w:hAnsi="Times New Roman"/>
          <w:sz w:val="24"/>
          <w:szCs w:val="24"/>
        </w:rPr>
        <w:t xml:space="preserve">       </w:t>
      </w:r>
      <w:r w:rsidRPr="00F603F0">
        <w:rPr>
          <w:rFonts w:ascii="Times New Roman" w:hAnsi="Times New Roman"/>
          <w:sz w:val="24"/>
          <w:szCs w:val="24"/>
        </w:rPr>
        <w:t>v rámci podopatrenia 16.4 –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bola vyhlásená 14. 09. 2015 a žiadosti boli prijímané v termíne od 16. 11. 2015 do 27. 11. 2015.</w:t>
      </w:r>
    </w:p>
    <w:p w:rsidR="00A37E5A" w:rsidRPr="00F603F0" w:rsidRDefault="00A37E5A"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F603F0">
        <w:rPr>
          <w:rFonts w:ascii="Times New Roman" w:hAnsi="Times New Roman"/>
          <w:sz w:val="24"/>
          <w:szCs w:val="24"/>
        </w:rPr>
        <w:t xml:space="preserve">Výzva č. 15/PRV/2015 na predkladanie žiadostí o nenávratný finančný príspevok </w:t>
      </w:r>
      <w:r>
        <w:rPr>
          <w:rFonts w:ascii="Times New Roman" w:hAnsi="Times New Roman"/>
          <w:sz w:val="24"/>
          <w:szCs w:val="24"/>
        </w:rPr>
        <w:t xml:space="preserve">      </w:t>
      </w:r>
      <w:r w:rsidRPr="00F603F0">
        <w:rPr>
          <w:rFonts w:ascii="Times New Roman" w:hAnsi="Times New Roman"/>
          <w:sz w:val="24"/>
          <w:szCs w:val="24"/>
        </w:rPr>
        <w:t xml:space="preserve">v rámci podopatrenia 8.5 – Podpora na investície do zlepšenia odolnosti </w:t>
      </w:r>
      <w:r>
        <w:rPr>
          <w:rFonts w:ascii="Times New Roman" w:hAnsi="Times New Roman"/>
          <w:sz w:val="24"/>
          <w:szCs w:val="24"/>
        </w:rPr>
        <w:t xml:space="preserve">                       </w:t>
      </w:r>
      <w:r w:rsidRPr="00F603F0">
        <w:rPr>
          <w:rFonts w:ascii="Times New Roman" w:hAnsi="Times New Roman"/>
          <w:sz w:val="24"/>
          <w:szCs w:val="24"/>
        </w:rPr>
        <w:t xml:space="preserve">a environmentálnej hodnoty lesných ekosystémov bola vyhlásená 02. 11. 2015 </w:t>
      </w:r>
      <w:r>
        <w:rPr>
          <w:rFonts w:ascii="Times New Roman" w:hAnsi="Times New Roman"/>
          <w:sz w:val="24"/>
          <w:szCs w:val="24"/>
        </w:rPr>
        <w:t xml:space="preserve">           </w:t>
      </w:r>
      <w:r w:rsidRPr="00F603F0">
        <w:rPr>
          <w:rFonts w:ascii="Times New Roman" w:hAnsi="Times New Roman"/>
          <w:sz w:val="24"/>
          <w:szCs w:val="24"/>
        </w:rPr>
        <w:t>a žiadosti boli prijímané v termíne od 30. 11. 2015 do 11. 12. 2015.</w:t>
      </w:r>
    </w:p>
    <w:p w:rsidR="00A37E5A" w:rsidRPr="00F603F0" w:rsidRDefault="00A37E5A" w:rsidP="00A37E5A">
      <w:pPr>
        <w:pStyle w:val="Odsekzoznamu"/>
        <w:numPr>
          <w:ilvl w:val="0"/>
          <w:numId w:val="57"/>
        </w:numPr>
        <w:suppressAutoHyphens w:val="0"/>
        <w:autoSpaceDE w:val="0"/>
        <w:adjustRightInd w:val="0"/>
        <w:spacing w:line="276" w:lineRule="auto"/>
        <w:contextualSpacing/>
        <w:jc w:val="both"/>
        <w:rPr>
          <w:rFonts w:ascii="Times New Roman" w:hAnsi="Times New Roman"/>
          <w:sz w:val="24"/>
          <w:szCs w:val="24"/>
        </w:rPr>
      </w:pPr>
      <w:r w:rsidRPr="00F603F0">
        <w:rPr>
          <w:rFonts w:ascii="Times New Roman" w:hAnsi="Times New Roman"/>
          <w:sz w:val="24"/>
          <w:szCs w:val="24"/>
        </w:rPr>
        <w:t xml:space="preserve">Výzva č. 1/2015 na predkladanie obsahových námetov na podopatrenie 1.1 – Podpora na akcie odborného vzdelávania a získavania zručností - b) vzdelávacie programy nepresahujúce 18 mesiacov bola vyhlásená </w:t>
      </w:r>
      <w:r w:rsidRPr="00F603F0">
        <w:rPr>
          <w:rFonts w:ascii="Times New Roman" w:hAnsi="Times New Roman"/>
          <w:sz w:val="24"/>
          <w:szCs w:val="24"/>
        </w:rPr>
        <w:tab/>
        <w:t>05. 11. 2015 a obsahové námety boli prijímané od 23. 11. 2015 do 14. 12. 2015.</w:t>
      </w:r>
    </w:p>
    <w:p w:rsidR="00A37E5A" w:rsidRDefault="00A37E5A" w:rsidP="00A37E5A"/>
    <w:p w:rsidR="00A37E5A" w:rsidRDefault="00A37E5A" w:rsidP="00A37E5A"/>
    <w:p w:rsidR="00A37E5A" w:rsidRPr="00A37E5A" w:rsidRDefault="002978ED" w:rsidP="00A37E5A">
      <w:pPr>
        <w:rPr>
          <w:b/>
          <w:sz w:val="24"/>
        </w:rPr>
      </w:pPr>
      <w:r w:rsidRPr="002978ED">
        <w:rPr>
          <w:b/>
          <w:sz w:val="24"/>
        </w:rPr>
        <w:t>Neprojektové opatrenia PRV SR v podpore rozvoja vidieka</w:t>
      </w:r>
    </w:p>
    <w:p w:rsidR="00A37E5A" w:rsidRPr="00A37E5A" w:rsidRDefault="00A37E5A" w:rsidP="00A37E5A">
      <w:pPr>
        <w:rPr>
          <w:b/>
          <w:sz w:val="24"/>
        </w:rPr>
      </w:pPr>
    </w:p>
    <w:p w:rsidR="002978ED" w:rsidRPr="002978ED" w:rsidRDefault="002978ED" w:rsidP="002978ED">
      <w:pPr>
        <w:pStyle w:val="Odsekzoznamu"/>
        <w:numPr>
          <w:ilvl w:val="0"/>
          <w:numId w:val="57"/>
        </w:numPr>
        <w:suppressAutoHyphens w:val="0"/>
        <w:autoSpaceDE w:val="0"/>
        <w:adjustRightInd w:val="0"/>
        <w:spacing w:line="276" w:lineRule="auto"/>
        <w:contextualSpacing/>
        <w:jc w:val="both"/>
        <w:rPr>
          <w:sz w:val="24"/>
          <w:szCs w:val="24"/>
        </w:rPr>
      </w:pPr>
      <w:r w:rsidRPr="002978ED">
        <w:rPr>
          <w:rFonts w:ascii="Times New Roman" w:hAnsi="Times New Roman"/>
          <w:sz w:val="24"/>
          <w:szCs w:val="24"/>
        </w:rPr>
        <w:t>vytvoriť opatrenia na udržateľné zlepšovanie vidieckeho životného prostredia a</w:t>
      </w:r>
      <w:r w:rsidR="00A37E5A">
        <w:rPr>
          <w:rFonts w:ascii="Times New Roman" w:hAnsi="Times New Roman"/>
          <w:sz w:val="24"/>
          <w:szCs w:val="24"/>
        </w:rPr>
        <w:t> </w:t>
      </w:r>
      <w:r w:rsidRPr="002978ED">
        <w:rPr>
          <w:rFonts w:ascii="Times New Roman" w:hAnsi="Times New Roman"/>
          <w:sz w:val="24"/>
          <w:szCs w:val="24"/>
        </w:rPr>
        <w:t>udržanie zamestnanosti využívaním multifunkčných poľnohospodárskych a lesníckych aktivít a technológií eliminujúcich z nich vyplývajúcich nepriaznivých dopadov.</w:t>
      </w:r>
    </w:p>
    <w:p w:rsidR="002978ED" w:rsidRPr="002978ED" w:rsidRDefault="002978ED" w:rsidP="002978ED">
      <w:pPr>
        <w:jc w:val="both"/>
        <w:rPr>
          <w:sz w:val="24"/>
          <w:lang w:val="sk-SK"/>
        </w:rPr>
      </w:pPr>
    </w:p>
    <w:p w:rsidR="002978ED" w:rsidRPr="002978ED" w:rsidRDefault="002978ED" w:rsidP="002978ED">
      <w:pPr>
        <w:jc w:val="both"/>
        <w:rPr>
          <w:sz w:val="24"/>
          <w:lang w:val="sk-SK"/>
        </w:rPr>
      </w:pPr>
      <w:r w:rsidRPr="002978ED">
        <w:rPr>
          <w:sz w:val="24"/>
          <w:lang w:val="sk-SK"/>
        </w:rPr>
        <w:t>Nástroj:</w:t>
      </w:r>
    </w:p>
    <w:p w:rsidR="002978ED" w:rsidRPr="002978ED" w:rsidRDefault="002978ED" w:rsidP="002978ED">
      <w:pPr>
        <w:jc w:val="both"/>
        <w:rPr>
          <w:sz w:val="24"/>
          <w:lang w:val="sk-SK"/>
        </w:rPr>
      </w:pPr>
      <w:r w:rsidRPr="002978ED">
        <w:rPr>
          <w:sz w:val="24"/>
          <w:lang w:val="sk-SK"/>
        </w:rPr>
        <w:t>Agro-environmentálne operácie súvisiace s klímou</w:t>
      </w:r>
    </w:p>
    <w:p w:rsidR="002978ED" w:rsidRPr="002978ED" w:rsidRDefault="002978ED" w:rsidP="002978ED">
      <w:pPr>
        <w:jc w:val="both"/>
        <w:rPr>
          <w:sz w:val="24"/>
          <w:lang w:val="sk-SK"/>
        </w:rPr>
      </w:pPr>
    </w:p>
    <w:p w:rsidR="002978ED" w:rsidRPr="002978ED" w:rsidRDefault="002978ED" w:rsidP="002978ED">
      <w:pPr>
        <w:jc w:val="both"/>
        <w:rPr>
          <w:sz w:val="24"/>
          <w:lang w:val="sk-SK"/>
        </w:rPr>
      </w:pPr>
      <w:r w:rsidRPr="002978ED">
        <w:rPr>
          <w:sz w:val="24"/>
          <w:lang w:val="sk-SK"/>
        </w:rPr>
        <w:t>Plnenie:</w:t>
      </w:r>
    </w:p>
    <w:p w:rsidR="002978ED" w:rsidRPr="002978ED" w:rsidRDefault="002978ED" w:rsidP="002978ED">
      <w:pPr>
        <w:jc w:val="both"/>
        <w:rPr>
          <w:sz w:val="24"/>
          <w:lang w:val="sk-SK"/>
        </w:rPr>
      </w:pPr>
      <w:r w:rsidRPr="002978ED">
        <w:rPr>
          <w:sz w:val="24"/>
          <w:lang w:val="sk-SK"/>
        </w:rPr>
        <w:t>13.2.2015 - EK bol schválená Program rozvoja vidieka SR 2014-2020. V jeho rámci boli o.i. prijaté aj nasledovné opatrenia s príslušnou finančnou alokáciou verejných zdrojov:</w:t>
      </w:r>
    </w:p>
    <w:p w:rsidR="002978ED" w:rsidRPr="002978ED" w:rsidRDefault="002978ED" w:rsidP="002978ED">
      <w:pPr>
        <w:jc w:val="both"/>
        <w:rPr>
          <w:bCs/>
          <w:sz w:val="24"/>
          <w:lang w:val="sk-SK"/>
        </w:rPr>
      </w:pPr>
      <w:r w:rsidRPr="002978ED">
        <w:rPr>
          <w:sz w:val="24"/>
          <w:lang w:val="sk-SK"/>
        </w:rPr>
        <w:t xml:space="preserve">Opatrenia: </w:t>
      </w:r>
      <w:r w:rsidRPr="002978ED">
        <w:rPr>
          <w:bCs/>
          <w:sz w:val="24"/>
          <w:lang w:val="sk-SK"/>
        </w:rPr>
        <w:t>Agroenvironmentálo-klimatické opatrenie 143,75 mil.€  (z toho operácie Integrovanej produkcie ovocia, vinohradov a zeleniny 45,22 mil.€)</w:t>
      </w:r>
    </w:p>
    <w:p w:rsidR="002978ED" w:rsidRPr="002978ED" w:rsidRDefault="002978ED" w:rsidP="002978ED">
      <w:pPr>
        <w:jc w:val="both"/>
        <w:rPr>
          <w:sz w:val="24"/>
          <w:lang w:val="sk-SK"/>
        </w:rPr>
      </w:pPr>
      <w:r w:rsidRPr="002978ED">
        <w:rPr>
          <w:sz w:val="24"/>
          <w:lang w:val="sk-SK"/>
        </w:rPr>
        <w:lastRenderedPageBreak/>
        <w:t>                      Ekologické poľnohospodárstvo 90 mil.€</w:t>
      </w:r>
    </w:p>
    <w:p w:rsidR="002978ED" w:rsidRPr="002978ED" w:rsidRDefault="002978ED" w:rsidP="002978ED">
      <w:pPr>
        <w:jc w:val="both"/>
        <w:rPr>
          <w:sz w:val="24"/>
          <w:lang w:val="sk-SK"/>
        </w:rPr>
      </w:pPr>
      <w:r w:rsidRPr="002978ED">
        <w:rPr>
          <w:sz w:val="24"/>
          <w:lang w:val="sk-SK"/>
        </w:rPr>
        <w:t>                      Životné podmienky zvierat  108 mil. €</w:t>
      </w:r>
    </w:p>
    <w:p w:rsidR="002978ED" w:rsidRPr="002978ED" w:rsidRDefault="002978ED" w:rsidP="002978ED">
      <w:pPr>
        <w:jc w:val="both"/>
        <w:rPr>
          <w:sz w:val="24"/>
          <w:lang w:val="sk-SK"/>
        </w:rPr>
      </w:pPr>
      <w:r w:rsidRPr="002978ED">
        <w:rPr>
          <w:sz w:val="24"/>
          <w:lang w:val="sk-SK"/>
        </w:rPr>
        <w:t>V roku 2015 sa uskutočnilo podávanie žiadostí na uvedené opatrenia. Všetci oprávnení žiadatelia boli zaradení do podpory.</w:t>
      </w:r>
    </w:p>
    <w:p w:rsidR="002978ED" w:rsidRPr="002978ED" w:rsidRDefault="002978ED" w:rsidP="002978ED">
      <w:pPr>
        <w:jc w:val="both"/>
        <w:rPr>
          <w:sz w:val="24"/>
          <w:lang w:val="sk-SK"/>
        </w:rPr>
      </w:pPr>
      <w:r w:rsidRPr="002978ED">
        <w:rPr>
          <w:sz w:val="24"/>
          <w:lang w:val="sk-SK"/>
        </w:rPr>
        <w:t>V súčasnosti PPA finalizuje oznámenia a rozhodnutia pre oprávnených žiadateľov. Skutočné čerpanie a alokovanie prostriedkov na viacročné záväzky bude známe po ukončení procesov PPA.</w:t>
      </w:r>
    </w:p>
    <w:p w:rsidR="001D47D3" w:rsidRPr="0083273D" w:rsidRDefault="001D47D3" w:rsidP="001D47D3">
      <w:pPr>
        <w:spacing w:after="60" w:line="320" w:lineRule="exact"/>
        <w:contextualSpacing/>
        <w:jc w:val="both"/>
        <w:rPr>
          <w:color w:val="000000" w:themeColor="text1"/>
          <w:sz w:val="24"/>
          <w:szCs w:val="24"/>
          <w:lang w:val="sk-SK"/>
        </w:rPr>
      </w:pPr>
    </w:p>
    <w:p w:rsidR="001D47D3" w:rsidRPr="0083273D" w:rsidRDefault="002978ED" w:rsidP="001D47D3">
      <w:pPr>
        <w:spacing w:after="60" w:line="320" w:lineRule="exact"/>
        <w:contextualSpacing/>
        <w:jc w:val="both"/>
        <w:rPr>
          <w:color w:val="000000" w:themeColor="text1"/>
          <w:sz w:val="24"/>
          <w:szCs w:val="24"/>
          <w:lang w:val="sk-SK"/>
        </w:rPr>
      </w:pPr>
      <w:r w:rsidRPr="002978ED">
        <w:rPr>
          <w:b/>
          <w:bCs/>
          <w:color w:val="000000" w:themeColor="text1"/>
          <w:sz w:val="24"/>
          <w:szCs w:val="24"/>
          <w:lang w:val="sk-SK"/>
        </w:rPr>
        <w:t xml:space="preserve">Rybné hospodárstvo - </w:t>
      </w:r>
      <w:r w:rsidRPr="002978ED">
        <w:rPr>
          <w:color w:val="000000" w:themeColor="text1"/>
          <w:sz w:val="24"/>
          <w:szCs w:val="24"/>
          <w:lang w:val="sk-SK"/>
        </w:rPr>
        <w:t>Potreby v oblasti hospodárskeho chovu rýb uvedené v Koncepcii boli zapracované do návrhu Operačného programu Rybné hospodárstvo 2014-2020 (OPRH), pričom ide predovšetkým o:</w:t>
      </w:r>
    </w:p>
    <w:p w:rsidR="001D47D3" w:rsidRPr="0083273D" w:rsidRDefault="002978ED" w:rsidP="001D47D3">
      <w:pPr>
        <w:numPr>
          <w:ilvl w:val="0"/>
          <w:numId w:val="44"/>
        </w:numPr>
        <w:spacing w:after="60" w:line="320" w:lineRule="exact"/>
        <w:jc w:val="both"/>
        <w:rPr>
          <w:color w:val="000000" w:themeColor="text1"/>
          <w:sz w:val="24"/>
          <w:szCs w:val="24"/>
          <w:lang w:val="sk-SK"/>
        </w:rPr>
      </w:pPr>
      <w:r w:rsidRPr="002978ED">
        <w:rPr>
          <w:color w:val="000000" w:themeColor="text1"/>
          <w:sz w:val="24"/>
          <w:szCs w:val="24"/>
          <w:lang w:val="sk-SK"/>
        </w:rPr>
        <w:t>podporu predaja produktov hospodárskeho chovu rýb priamo na farme v živom a/alebo upravenom stave,</w:t>
      </w:r>
    </w:p>
    <w:p w:rsidR="001D47D3" w:rsidRPr="0083273D" w:rsidRDefault="002978ED" w:rsidP="001D47D3">
      <w:pPr>
        <w:numPr>
          <w:ilvl w:val="0"/>
          <w:numId w:val="44"/>
        </w:numPr>
        <w:spacing w:after="60" w:line="320" w:lineRule="exact"/>
        <w:jc w:val="both"/>
        <w:rPr>
          <w:color w:val="000000" w:themeColor="text1"/>
          <w:sz w:val="24"/>
          <w:szCs w:val="24"/>
          <w:lang w:val="sk-SK"/>
        </w:rPr>
      </w:pPr>
      <w:r w:rsidRPr="002978ED">
        <w:rPr>
          <w:color w:val="000000" w:themeColor="text1"/>
          <w:sz w:val="24"/>
          <w:szCs w:val="24"/>
          <w:lang w:val="sk-SK"/>
        </w:rPr>
        <w:t>podporu diverzifikácie akvakultúrnych činností,</w:t>
      </w:r>
    </w:p>
    <w:p w:rsidR="001D47D3" w:rsidRPr="0083273D" w:rsidRDefault="002978ED" w:rsidP="001D47D3">
      <w:pPr>
        <w:numPr>
          <w:ilvl w:val="0"/>
          <w:numId w:val="44"/>
        </w:numPr>
        <w:spacing w:after="60" w:line="320" w:lineRule="exact"/>
        <w:jc w:val="both"/>
        <w:rPr>
          <w:color w:val="000000" w:themeColor="text1"/>
          <w:sz w:val="24"/>
          <w:szCs w:val="24"/>
          <w:lang w:val="sk-SK"/>
        </w:rPr>
      </w:pPr>
      <w:r w:rsidRPr="002978ED">
        <w:rPr>
          <w:color w:val="000000" w:themeColor="text1"/>
          <w:sz w:val="24"/>
          <w:szCs w:val="24"/>
          <w:lang w:val="sk-SK"/>
        </w:rPr>
        <w:t>vzájomné vybilancovanie ochrany rybožravých predátorov a hospodárskeho chovu rýb, napr. podporou takých zariadení na ochranu chovov pred rybožravými predátormi, ktoré nebudú spôsobovať úhyn vtáctva vrátane vzácnych druhov,</w:t>
      </w:r>
    </w:p>
    <w:p w:rsidR="001D47D3" w:rsidRPr="0083273D" w:rsidRDefault="002978ED" w:rsidP="001D47D3">
      <w:pPr>
        <w:numPr>
          <w:ilvl w:val="0"/>
          <w:numId w:val="44"/>
        </w:numPr>
        <w:spacing w:after="60" w:line="320" w:lineRule="exact"/>
        <w:jc w:val="both"/>
        <w:rPr>
          <w:color w:val="000000" w:themeColor="text1"/>
          <w:sz w:val="24"/>
          <w:szCs w:val="24"/>
          <w:lang w:val="sk-SK"/>
        </w:rPr>
      </w:pPr>
      <w:r w:rsidRPr="002978ED">
        <w:rPr>
          <w:color w:val="000000" w:themeColor="text1"/>
          <w:sz w:val="24"/>
          <w:szCs w:val="24"/>
          <w:lang w:val="sk-SK"/>
        </w:rPr>
        <w:t>podporu inovácií v sektore hospodárskeho chovu rýb, ktoré budú viac šetrné  k životnému prostrediu s nižšími nárokmi na zdroje vody (recirkulačné systémy).</w:t>
      </w:r>
    </w:p>
    <w:p w:rsidR="001D47D3" w:rsidRPr="0083273D" w:rsidRDefault="002978ED" w:rsidP="001D47D3">
      <w:pPr>
        <w:spacing w:after="60" w:line="320" w:lineRule="exact"/>
        <w:ind w:firstLine="708"/>
        <w:jc w:val="both"/>
        <w:rPr>
          <w:color w:val="000000" w:themeColor="text1"/>
          <w:sz w:val="24"/>
          <w:szCs w:val="24"/>
          <w:lang w:val="sk-SK"/>
        </w:rPr>
      </w:pPr>
      <w:r w:rsidRPr="002978ED">
        <w:rPr>
          <w:color w:val="000000" w:themeColor="text1"/>
          <w:sz w:val="24"/>
          <w:szCs w:val="24"/>
          <w:lang w:val="sk-SK"/>
        </w:rPr>
        <w:t>Nakoľko OP RH zatiaľ nebol schválený Európskou komisiou, nie je ho možné implementovať. Na základe uvedeného je vyhodnotenie plnenia úloh vyplývajúcich z Koncepcie v tejto fáze nemožné.</w:t>
      </w:r>
    </w:p>
    <w:p w:rsidR="00892EDC" w:rsidRPr="0083273D" w:rsidRDefault="00892EDC" w:rsidP="00892EDC">
      <w:pPr>
        <w:spacing w:line="320" w:lineRule="exact"/>
        <w:rPr>
          <w:color w:val="000000" w:themeColor="text1"/>
          <w:sz w:val="24"/>
          <w:szCs w:val="24"/>
          <w:lang w:val="sk-SK"/>
        </w:rPr>
      </w:pPr>
    </w:p>
    <w:p w:rsidR="008B3577" w:rsidRPr="0083273D" w:rsidRDefault="002978ED">
      <w:pPr>
        <w:autoSpaceDE w:val="0"/>
        <w:autoSpaceDN w:val="0"/>
        <w:adjustRightInd w:val="0"/>
        <w:spacing w:after="60" w:line="320" w:lineRule="exact"/>
        <w:jc w:val="both"/>
        <w:rPr>
          <w:color w:val="000000" w:themeColor="text1"/>
          <w:sz w:val="24"/>
          <w:szCs w:val="24"/>
          <w:lang w:val="sk-SK"/>
        </w:rPr>
      </w:pPr>
      <w:r w:rsidRPr="002978ED">
        <w:rPr>
          <w:b/>
          <w:color w:val="000000" w:themeColor="text1"/>
          <w:sz w:val="24"/>
          <w:szCs w:val="24"/>
          <w:lang w:val="sk-SK"/>
        </w:rPr>
        <w:t>Pôdohospodárska platobná agentúra</w:t>
      </w:r>
    </w:p>
    <w:p w:rsidR="008B3577"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PPA sa podieľa na výkone Koncepcie rozvoja pôdohospodárstva SR na roky 2013 – 2020 podľa pokynov MPRV SR. Na výkon činností súvisiacich s poskytovaním podpôr mala PPA v roku 2015 plnú akreditáciu udelenú príslušným orgánom (MPRV SR) v zmysle legislatívy EÚ. </w:t>
      </w:r>
    </w:p>
    <w:p w:rsidR="00C80988" w:rsidRPr="00C80988" w:rsidRDefault="00C63CD6" w:rsidP="0050775F">
      <w:pPr>
        <w:ind w:firstLine="708"/>
        <w:jc w:val="both"/>
        <w:rPr>
          <w:color w:val="000000" w:themeColor="text1"/>
          <w:sz w:val="24"/>
          <w:szCs w:val="24"/>
          <w:lang w:val="sk-SK"/>
        </w:rPr>
      </w:pPr>
      <w:r w:rsidRPr="002978ED">
        <w:rPr>
          <w:color w:val="000000" w:themeColor="text1"/>
          <w:sz w:val="24"/>
          <w:szCs w:val="24"/>
          <w:lang w:val="sk-SK"/>
        </w:rPr>
        <w:t>V roku 2015  boli zo zdrojov Európskeho poľnohospodárskeho záručného fondu (EPZF) administrované priame platby v súvislosti so schémami oddelených priamych platieb na jednotnú platbu na plochu (SAPS), platbu na poľnohospodárske postupy prospešné pre klímu a životné prostredie a platbu pre mladých poľnohospodárov</w:t>
      </w:r>
      <w:r w:rsidR="00C80988">
        <w:rPr>
          <w:color w:val="000000" w:themeColor="text1"/>
          <w:sz w:val="24"/>
          <w:szCs w:val="24"/>
          <w:lang w:val="sk-SK"/>
        </w:rPr>
        <w:t xml:space="preserve"> a </w:t>
      </w:r>
      <w:r w:rsidR="00C80988" w:rsidRPr="00C80988">
        <w:rPr>
          <w:color w:val="000000" w:themeColor="text1"/>
          <w:sz w:val="24"/>
          <w:szCs w:val="24"/>
          <w:lang w:val="sk-SK"/>
        </w:rPr>
        <w:t>10 schém viazaných priamych platieb, ktorými sú platba na pestovanie cukrovej repy, platba na pestovanie chmeľu, platba na pestovanie vybraných druhov ovocia s vysokou prácnosťou, platba na pestovanie vybraných druhov ovocia s veľmi vysokou prácnosťou, platba na pestovanie vybraných druhov zeleniny s vysokou prácnosťou, platba na pestovanie vybraných druhov zeleniny s veľmi vysokou prácnosťou, platba na pestovanie rajčiakov, platba na chov bahníc, jariek</w:t>
      </w:r>
      <w:r w:rsidR="00C01527">
        <w:rPr>
          <w:color w:val="000000" w:themeColor="text1"/>
          <w:sz w:val="24"/>
          <w:szCs w:val="24"/>
          <w:lang w:val="sk-SK"/>
        </w:rPr>
        <w:t xml:space="preserve"> </w:t>
      </w:r>
      <w:r w:rsidR="00C80988" w:rsidRPr="00C80988">
        <w:rPr>
          <w:color w:val="000000" w:themeColor="text1"/>
          <w:sz w:val="24"/>
          <w:szCs w:val="24"/>
          <w:lang w:val="sk-SK"/>
        </w:rPr>
        <w:t xml:space="preserve">a kôz, platba na výkrm vybraných kategórií hovädzieho dobytka, platba na kravy chované v systéme s trhovou produkciou mlieka. </w:t>
      </w:r>
    </w:p>
    <w:p w:rsidR="00C63CD6" w:rsidRDefault="005072C2" w:rsidP="00C63CD6">
      <w:pPr>
        <w:spacing w:line="320" w:lineRule="exact"/>
        <w:ind w:firstLine="708"/>
        <w:jc w:val="both"/>
        <w:rPr>
          <w:color w:val="000000" w:themeColor="text1"/>
          <w:sz w:val="24"/>
          <w:szCs w:val="24"/>
          <w:lang w:val="sk-SK"/>
        </w:rPr>
      </w:pPr>
      <w:r>
        <w:rPr>
          <w:color w:val="000000" w:themeColor="text1"/>
          <w:sz w:val="24"/>
          <w:szCs w:val="24"/>
          <w:lang w:val="sk-SK"/>
        </w:rPr>
        <w:t>Priame platby boli vo všeobecnosti poskytované poľnohospodárom ako plošné odviazané platby a časť prostriedkov EPZF bolo možné viazať aj na konkrétne sektory a komodity prostredníctvom tzv. viazaných priamych platieb. Priame platby sa vyplácajú zo štátneho rozpočtu SR a refundujú z rozpočtu EÚ.</w:t>
      </w:r>
    </w:p>
    <w:p w:rsidR="008B3577" w:rsidRDefault="005072C2">
      <w:pPr>
        <w:spacing w:line="320" w:lineRule="exact"/>
        <w:ind w:firstLine="708"/>
        <w:jc w:val="both"/>
        <w:rPr>
          <w:color w:val="000000" w:themeColor="text1"/>
          <w:sz w:val="24"/>
          <w:szCs w:val="24"/>
          <w:lang w:val="sk-SK"/>
        </w:rPr>
      </w:pPr>
      <w:r>
        <w:rPr>
          <w:color w:val="000000" w:themeColor="text1"/>
          <w:sz w:val="24"/>
          <w:szCs w:val="24"/>
          <w:lang w:val="sk-SK"/>
        </w:rPr>
        <w:lastRenderedPageBreak/>
        <w:t>V rámci Európskeho poľnohospodárskeho fondu pre rozvoj</w:t>
      </w:r>
      <w:r w:rsidR="002978ED" w:rsidRPr="002978ED">
        <w:rPr>
          <w:color w:val="000000" w:themeColor="text1"/>
          <w:sz w:val="24"/>
          <w:szCs w:val="24"/>
          <w:lang w:val="sk-SK"/>
        </w:rPr>
        <w:t xml:space="preserve"> vidieka (EPFRV) PPA v roku 2015 poskytovala  podpory Programu rozvoja vidieka SR 2007 – 2013 (PRV SR 2007 – 2013). V roku 2015 boli vyhlásené  výzvy na predkladanie žiadostí o poskytnutie nenávratného finančného príspevku z PRV SR 2007 – 2013: výzva pre opatrenie 1.1. Modernizácia fariem a rozvoj obcí a výzva pre opatrenie 3.4.2. Obnova a rozvoj obcí.</w:t>
      </w:r>
    </w:p>
    <w:p w:rsidR="00C63CD6" w:rsidRPr="00C63CD6" w:rsidRDefault="00C63CD6" w:rsidP="00C63CD6">
      <w:pPr>
        <w:spacing w:line="320" w:lineRule="exact"/>
        <w:ind w:firstLine="708"/>
        <w:jc w:val="both"/>
        <w:rPr>
          <w:color w:val="000000" w:themeColor="text1"/>
          <w:sz w:val="24"/>
          <w:szCs w:val="24"/>
          <w:lang w:val="sk-SK"/>
        </w:rPr>
      </w:pPr>
      <w:r w:rsidRPr="00C63CD6">
        <w:rPr>
          <w:color w:val="000000" w:themeColor="text1"/>
          <w:sz w:val="24"/>
          <w:szCs w:val="24"/>
          <w:lang w:val="sk-SK"/>
        </w:rPr>
        <w:t>Priame platby sú vo všeobecnosti poskytované poľnohospodárom ako plošné odviazané platby a časť prostriedkov EPZF je možné viazať aj na konkrétne sektory a komodity prostredníctvom tzv. viazaných priamych platieb. Priame platby sa vyplácajú zo štátneho rozpočtu SR a refundujú z rozpočtu EÚ. V oblasti priamych podpôr PPA v roku 2015 sekcia priamych podpôr zadministrovala a odoslala na vyplatenie podpory z EPZF a ŠR</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Podľa PRV SR 2007 – 2013 PPA administrovala v roku 2015 žiadosti o agroenvironmentálnu platbu na podopatrenie Chov a udržanie ohrozených druhov zvierat,  žiadosti o platbu na opatrenie lesnícko-environmentálne platby  a žiadosť o aktualizáciu záväzku opatrenia lesnícko-environmentálne platby, ak sa platnosť lesného hospodárskeho plánu skončí počas piatich rokov trvania záväzku. Žiadatelia zaradení do uvedených opatrení v predchádzajúcich rokoch a v roku 2015 boli v poslednom, piatom roku záväzku, prostredníctvom oznámenia uverejneného na webovom sídle PPA upozornení na povinnosť požiadať PPA o platbu podľa podmienok uvedených v uvedenom nariadení a riadne ukončiť svoj päťročný záväzok.</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PPA v rámci EPFRV v roku 2015  z PRV SR 2014 – 2020 vyhlásila celkovo 17 výziev. Podľa PRV SR 2014 – 2020 administrovala PPA v tomto roku žiadosti o platbu pre oblasti s prírodnými obmedzeniami alebo inými osobitnými obmedzeniami, o platbu v rámci sústavy Natura 2000 na poľnohospodársky pozemok a na lesný pozemok, o platbu pri zaradení do agroenvironmentálno-klimatického opatrenia, o platbu na ekologické poľnohospodárstvo, o platbu na dobré životné podmienky zvierat, o platbu na lesnícko-environmentálne a klimatické služby a ochranu lesov a prvé zalesnenie poľnohospodárskej pôdy.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Podporné opatrenia štátnej pomoci sú financované z prostriedkov štátneho rozpočtu a sú zamerané predovšetkým na rozvoj malých a stredných podnikov pôsobiacich  v poľnohospodárskej prvovýrobe a v spracovaní poľnohospodárskych produktov, a to formou poskytovania štátnej pomoci a minimálnej pomoci.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 Jednotlivé komponenty informačného systému PPA boli priebežne aktualizované a rozširované v súvislosti s neustále sa vyvíjajúcou európskou a domácou legislatívou a novými výzvami na predkladanie žiadosti o podpory.</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V oblasti aplikačných systémov sa pokračovalo s rozširovaním funkcionalít a integráciou na reformu Spoločnú poľnohospodársku politiku (SPP) na podmienky programového obdobia 2014 – 2020. Pokračovalo sa v prepracovaní AGIS SOT a AGIS ŠP na novú platformu Oracle WebLogic. Bol zavedený elektronický Jednotný register žiadateľov a prepojený s ostatnými internými IS.</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Z hľadiska zefektívnenia práce a zvýšenia kvality kontrolných procesov bol zdokonalený systém eKNM.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lastRenderedPageBreak/>
        <w:t>V roku 2015 sa dokončila úprava modulov informačného systému IACS a modulov informačného systému  AGIS na  využívanie  spoločných dát, predovšetkým z Jednotného registra žiadateľov, ktorý spravuje kmeňové dáta.</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 xml:space="preserve"> V  oblasti kontrol priamych a environmentálnych podpôr a krížového plnenia bolo prioritou PPA vykonať všetky kontroly v oblasti priamych podpôr u žiadateľov, vybratých na kontrolu zo vzorky rizikovej analýzy a náhodného výberu (RA + NV) vzťahujúce sa  k žiadostiam roku 2015 podľa možnosti v optimálnom období a podľa možnosti integrovaným spôsobom. Do konca roku 2015 boli kontroly v absolútnej väčšine prípadov realizované. V oblasti kontrol krížového plnenia nezostala zo vzorky kontrol, vybratých rizikovou analýzou ani jedna nezahájená KNM, rovnako aj pri kontrolách na oprávnenosť (vybratých rizikovou analýzou). Zostávajúce rozpracované kontroly budú vykonané  v roku 2016 čo v najkratšom možnom období. Celkovo bolo vykonaných 5 266 kontrol.</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Na rok 2015 bol schválený rozpočet príjmov PPA na podporné mechanizmy v roku 2015 v objeme 734 605 tis. €. Z toho boli schválené príjmy pre 2. programové obdobie vo výške 132 374 tis. € a pre 3. programové obdobie vo výške 601 491 tis. € a príjmy štátneho rozpočtu SR vo výške 740 tis.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V priebehu rozpočtového roka 2015 bol rozpočet príjmov</w:t>
      </w:r>
      <w:r w:rsidRPr="002978ED">
        <w:rPr>
          <w:i/>
          <w:color w:val="000000" w:themeColor="text1"/>
          <w:sz w:val="24"/>
          <w:szCs w:val="24"/>
          <w:lang w:val="sk-SK"/>
        </w:rPr>
        <w:t xml:space="preserve"> </w:t>
      </w:r>
      <w:r w:rsidRPr="002978ED">
        <w:rPr>
          <w:color w:val="000000" w:themeColor="text1"/>
          <w:sz w:val="24"/>
          <w:szCs w:val="24"/>
          <w:lang w:val="sk-SK"/>
        </w:rPr>
        <w:t>upravený rozpočtovými opatreniami MPRV SR.</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K 31. 12. 2015 rozpočet príjmov PPA dosiahol úroveň  625 412 tis. €, čo je 100,05 % k upravenému rozpočtu. Z toho prostriedky z fondov EÚ /EK 300/ dosiahli výšku 623 771 tis. €, prostriedky zo štátneho rozpočtu /EK 200/ 1 641 tis. €.</w:t>
      </w:r>
    </w:p>
    <w:p w:rsidR="008B3577" w:rsidRPr="0083273D" w:rsidRDefault="002978ED">
      <w:pPr>
        <w:spacing w:line="320" w:lineRule="exact"/>
        <w:ind w:firstLine="708"/>
        <w:jc w:val="both"/>
        <w:rPr>
          <w:color w:val="000000" w:themeColor="text1"/>
          <w:sz w:val="24"/>
          <w:szCs w:val="24"/>
          <w:lang w:val="sk-SK"/>
        </w:rPr>
      </w:pPr>
      <w:r w:rsidRPr="002978ED">
        <w:rPr>
          <w:color w:val="000000" w:themeColor="text1"/>
          <w:sz w:val="24"/>
          <w:szCs w:val="24"/>
          <w:lang w:val="sk-SK"/>
        </w:rPr>
        <w:t>Rozpočet výdavkov PPA bez prevádzky bol na rok 2015 schválený v objeme 856 844</w:t>
      </w:r>
      <w:r w:rsidRPr="002978ED">
        <w:rPr>
          <w:rFonts w:cs="Arial"/>
          <w:color w:val="000000" w:themeColor="text1"/>
          <w:sz w:val="24"/>
          <w:szCs w:val="24"/>
          <w:lang w:val="sk-SK"/>
        </w:rPr>
        <w:t xml:space="preserve"> </w:t>
      </w:r>
      <w:r w:rsidRPr="002978ED">
        <w:rPr>
          <w:color w:val="000000" w:themeColor="text1"/>
          <w:sz w:val="24"/>
          <w:szCs w:val="24"/>
          <w:lang w:val="sk-SK"/>
        </w:rPr>
        <w:t>tis. €. Z  toho  prostriedky EÚ vo výške 733 865 tis. € a prostriedky ŠR vo výške 122 979  tis. €. V priebehu roka bol rozpočet výdavkov v zmysle zákona o rozpočtových pravidlách upravený rozpočtovými opatreniami MPRV SR z nasledovných dôvodov: EFRH OPRH SR 2007 – 2013 ZDROJ 11l A 13l 2 517 tis. € ENRF OPRH SR 2014 – 2020 zdroj 1AH a 3AH 3 993 tis. €.</w:t>
      </w:r>
    </w:p>
    <w:p w:rsidR="00401F2C" w:rsidRPr="0083273D" w:rsidRDefault="00401F2C">
      <w:pPr>
        <w:spacing w:after="60" w:line="320" w:lineRule="exact"/>
        <w:jc w:val="both"/>
        <w:rPr>
          <w:color w:val="000000" w:themeColor="text1"/>
          <w:sz w:val="24"/>
          <w:szCs w:val="24"/>
          <w:lang w:val="sk-SK"/>
        </w:rPr>
      </w:pPr>
    </w:p>
    <w:sectPr w:rsidR="00401F2C" w:rsidRPr="0083273D" w:rsidSect="005720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0D" w:rsidRDefault="00B3590D" w:rsidP="004E2D24">
      <w:r>
        <w:separator/>
      </w:r>
    </w:p>
  </w:endnote>
  <w:endnote w:type="continuationSeparator" w:id="0">
    <w:p w:rsidR="00B3590D" w:rsidRDefault="00B3590D" w:rsidP="004E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TCBookmanE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011"/>
      <w:docPartObj>
        <w:docPartGallery w:val="Page Numbers (Bottom of Page)"/>
        <w:docPartUnique/>
      </w:docPartObj>
    </w:sdtPr>
    <w:sdtEndPr/>
    <w:sdtContent>
      <w:p w:rsidR="004E2D24" w:rsidRDefault="005072C2">
        <w:pPr>
          <w:pStyle w:val="Pta"/>
          <w:jc w:val="center"/>
        </w:pPr>
        <w:r>
          <w:fldChar w:fldCharType="begin"/>
        </w:r>
        <w:r w:rsidR="004E2D24">
          <w:instrText xml:space="preserve"> PAGE   \* MERGEFORMAT </w:instrText>
        </w:r>
        <w:r>
          <w:fldChar w:fldCharType="separate"/>
        </w:r>
        <w:r w:rsidR="00BA35B6">
          <w:rPr>
            <w:noProof/>
          </w:rPr>
          <w:t>1</w:t>
        </w:r>
        <w:r>
          <w:fldChar w:fldCharType="end"/>
        </w:r>
      </w:p>
    </w:sdtContent>
  </w:sdt>
  <w:p w:rsidR="004E2D24" w:rsidRDefault="004E2D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0D" w:rsidRDefault="00B3590D" w:rsidP="004E2D24">
      <w:r>
        <w:separator/>
      </w:r>
    </w:p>
  </w:footnote>
  <w:footnote w:type="continuationSeparator" w:id="0">
    <w:p w:rsidR="00B3590D" w:rsidRDefault="00B3590D" w:rsidP="004E2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75"/>
    <w:multiLevelType w:val="hybridMultilevel"/>
    <w:tmpl w:val="302A3AC0"/>
    <w:lvl w:ilvl="0" w:tplc="041B0001">
      <w:start w:val="1"/>
      <w:numFmt w:val="bullet"/>
      <w:lvlText w:val=""/>
      <w:lvlJc w:val="left"/>
      <w:pPr>
        <w:ind w:left="4613"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18E468A"/>
    <w:multiLevelType w:val="hybridMultilevel"/>
    <w:tmpl w:val="CEA654FC"/>
    <w:lvl w:ilvl="0" w:tplc="CF4E591C">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0743A4"/>
    <w:multiLevelType w:val="hybridMultilevel"/>
    <w:tmpl w:val="5970ABD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3">
    <w:nsid w:val="060E6A15"/>
    <w:multiLevelType w:val="hybridMultilevel"/>
    <w:tmpl w:val="EBB2BF48"/>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
    <w:nsid w:val="07556AAC"/>
    <w:multiLevelType w:val="hybridMultilevel"/>
    <w:tmpl w:val="441C74B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5">
    <w:nsid w:val="075A4564"/>
    <w:multiLevelType w:val="hybridMultilevel"/>
    <w:tmpl w:val="AF04C2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098C6C06"/>
    <w:multiLevelType w:val="hybridMultilevel"/>
    <w:tmpl w:val="0C661D3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1EE1D1D"/>
    <w:multiLevelType w:val="hybridMultilevel"/>
    <w:tmpl w:val="B2BC46A4"/>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8">
    <w:nsid w:val="13B11ECB"/>
    <w:multiLevelType w:val="hybridMultilevel"/>
    <w:tmpl w:val="F28C8A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3C7F46"/>
    <w:multiLevelType w:val="multilevel"/>
    <w:tmpl w:val="D0D296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nsid w:val="14A236C2"/>
    <w:multiLevelType w:val="hybridMultilevel"/>
    <w:tmpl w:val="E50A5EB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nsid w:val="14E13AC7"/>
    <w:multiLevelType w:val="hybridMultilevel"/>
    <w:tmpl w:val="51406372"/>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2">
    <w:nsid w:val="1BBE01FB"/>
    <w:multiLevelType w:val="hybridMultilevel"/>
    <w:tmpl w:val="D8363724"/>
    <w:lvl w:ilvl="0" w:tplc="041B000F">
      <w:start w:val="1"/>
      <w:numFmt w:val="bullet"/>
      <w:lvlText w:val=""/>
      <w:lvlJc w:val="left"/>
      <w:pPr>
        <w:ind w:left="360" w:hanging="360"/>
      </w:pPr>
      <w:rPr>
        <w:rFonts w:ascii="Symbol" w:hAnsi="Symbo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13">
    <w:nsid w:val="23CB5451"/>
    <w:multiLevelType w:val="hybridMultilevel"/>
    <w:tmpl w:val="D3DAD316"/>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4">
    <w:nsid w:val="259334E7"/>
    <w:multiLevelType w:val="hybridMultilevel"/>
    <w:tmpl w:val="990E32D6"/>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5">
    <w:nsid w:val="2792445F"/>
    <w:multiLevelType w:val="hybridMultilevel"/>
    <w:tmpl w:val="DC46EA4A"/>
    <w:lvl w:ilvl="0" w:tplc="6F6861A0">
      <w:start w:val="1"/>
      <w:numFmt w:val="decimal"/>
      <w:pStyle w:val="odsek1"/>
      <w:lvlText w:val="(%1)"/>
      <w:lvlJc w:val="left"/>
      <w:pPr>
        <w:ind w:left="502"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ind w:left="2149" w:hanging="360"/>
      </w:pPr>
      <w:rPr>
        <w:rFonts w:cs="Times New Roman" w:hint="default"/>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6">
    <w:nsid w:val="29A01031"/>
    <w:multiLevelType w:val="hybridMultilevel"/>
    <w:tmpl w:val="D560459C"/>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7">
    <w:nsid w:val="2C061EA5"/>
    <w:multiLevelType w:val="hybridMultilevel"/>
    <w:tmpl w:val="C03AEC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0C24A1"/>
    <w:multiLevelType w:val="hybridMultilevel"/>
    <w:tmpl w:val="329A87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2F0D4D69"/>
    <w:multiLevelType w:val="hybridMultilevel"/>
    <w:tmpl w:val="F12CA5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1C742A"/>
    <w:multiLevelType w:val="hybridMultilevel"/>
    <w:tmpl w:val="62B4069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21">
    <w:nsid w:val="30003E72"/>
    <w:multiLevelType w:val="hybridMultilevel"/>
    <w:tmpl w:val="7C0A0D7A"/>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2">
    <w:nsid w:val="31AF341B"/>
    <w:multiLevelType w:val="hybridMultilevel"/>
    <w:tmpl w:val="DD28DA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35315A50"/>
    <w:multiLevelType w:val="hybridMultilevel"/>
    <w:tmpl w:val="6FF45FEE"/>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4">
    <w:nsid w:val="37904501"/>
    <w:multiLevelType w:val="hybridMultilevel"/>
    <w:tmpl w:val="AC9A1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BF618A9"/>
    <w:multiLevelType w:val="hybridMultilevel"/>
    <w:tmpl w:val="8B0A69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3C820D9D"/>
    <w:multiLevelType w:val="hybridMultilevel"/>
    <w:tmpl w:val="DA129F54"/>
    <w:lvl w:ilvl="0" w:tplc="182CC3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1774067"/>
    <w:multiLevelType w:val="hybridMultilevel"/>
    <w:tmpl w:val="8C6C6C9E"/>
    <w:lvl w:ilvl="0" w:tplc="E9B41C2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44F07B55"/>
    <w:multiLevelType w:val="hybridMultilevel"/>
    <w:tmpl w:val="B46C1A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46A8507D"/>
    <w:multiLevelType w:val="hybridMultilevel"/>
    <w:tmpl w:val="EDD6C5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47456E64"/>
    <w:multiLevelType w:val="multilevel"/>
    <w:tmpl w:val="8064E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1">
    <w:nsid w:val="48940C47"/>
    <w:multiLevelType w:val="hybridMultilevel"/>
    <w:tmpl w:val="73FCE444"/>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32">
    <w:nsid w:val="4A770079"/>
    <w:multiLevelType w:val="hybridMultilevel"/>
    <w:tmpl w:val="B080AA54"/>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33">
    <w:nsid w:val="4A7D568A"/>
    <w:multiLevelType w:val="hybridMultilevel"/>
    <w:tmpl w:val="A2203A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4B6E1001"/>
    <w:multiLevelType w:val="hybridMultilevel"/>
    <w:tmpl w:val="7F52070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35">
    <w:nsid w:val="4BD72C05"/>
    <w:multiLevelType w:val="hybridMultilevel"/>
    <w:tmpl w:val="C510AC44"/>
    <w:lvl w:ilvl="0" w:tplc="041B0001">
      <w:start w:val="1"/>
      <w:numFmt w:val="bullet"/>
      <w:lvlText w:val=""/>
      <w:lvlJc w:val="left"/>
      <w:pPr>
        <w:ind w:left="872" w:hanging="360"/>
      </w:pPr>
      <w:rPr>
        <w:rFonts w:ascii="Symbol" w:hAnsi="Symbol" w:hint="default"/>
      </w:rPr>
    </w:lvl>
    <w:lvl w:ilvl="1" w:tplc="041B0003">
      <w:start w:val="1"/>
      <w:numFmt w:val="bullet"/>
      <w:lvlText w:val="o"/>
      <w:lvlJc w:val="left"/>
      <w:pPr>
        <w:ind w:left="1592" w:hanging="360"/>
      </w:pPr>
      <w:rPr>
        <w:rFonts w:ascii="Courier New" w:hAnsi="Courier New" w:cs="Courier New" w:hint="default"/>
      </w:rPr>
    </w:lvl>
    <w:lvl w:ilvl="2" w:tplc="041B0005">
      <w:start w:val="1"/>
      <w:numFmt w:val="bullet"/>
      <w:lvlText w:val=""/>
      <w:lvlJc w:val="left"/>
      <w:pPr>
        <w:ind w:left="2312" w:hanging="360"/>
      </w:pPr>
      <w:rPr>
        <w:rFonts w:ascii="Wingdings" w:hAnsi="Wingdings" w:hint="default"/>
      </w:rPr>
    </w:lvl>
    <w:lvl w:ilvl="3" w:tplc="041B0001">
      <w:start w:val="1"/>
      <w:numFmt w:val="bullet"/>
      <w:lvlText w:val=""/>
      <w:lvlJc w:val="left"/>
      <w:pPr>
        <w:ind w:left="3032" w:hanging="360"/>
      </w:pPr>
      <w:rPr>
        <w:rFonts w:ascii="Symbol" w:hAnsi="Symbol" w:hint="default"/>
      </w:rPr>
    </w:lvl>
    <w:lvl w:ilvl="4" w:tplc="041B0003">
      <w:start w:val="1"/>
      <w:numFmt w:val="bullet"/>
      <w:lvlText w:val="o"/>
      <w:lvlJc w:val="left"/>
      <w:pPr>
        <w:ind w:left="3752" w:hanging="360"/>
      </w:pPr>
      <w:rPr>
        <w:rFonts w:ascii="Courier New" w:hAnsi="Courier New" w:cs="Courier New" w:hint="default"/>
      </w:rPr>
    </w:lvl>
    <w:lvl w:ilvl="5" w:tplc="041B0005">
      <w:start w:val="1"/>
      <w:numFmt w:val="bullet"/>
      <w:lvlText w:val=""/>
      <w:lvlJc w:val="left"/>
      <w:pPr>
        <w:ind w:left="4472" w:hanging="360"/>
      </w:pPr>
      <w:rPr>
        <w:rFonts w:ascii="Wingdings" w:hAnsi="Wingdings" w:hint="default"/>
      </w:rPr>
    </w:lvl>
    <w:lvl w:ilvl="6" w:tplc="041B0001">
      <w:start w:val="1"/>
      <w:numFmt w:val="bullet"/>
      <w:lvlText w:val=""/>
      <w:lvlJc w:val="left"/>
      <w:pPr>
        <w:ind w:left="5192" w:hanging="360"/>
      </w:pPr>
      <w:rPr>
        <w:rFonts w:ascii="Symbol" w:hAnsi="Symbol" w:hint="default"/>
      </w:rPr>
    </w:lvl>
    <w:lvl w:ilvl="7" w:tplc="041B0003">
      <w:start w:val="1"/>
      <w:numFmt w:val="bullet"/>
      <w:lvlText w:val="o"/>
      <w:lvlJc w:val="left"/>
      <w:pPr>
        <w:ind w:left="5912" w:hanging="360"/>
      </w:pPr>
      <w:rPr>
        <w:rFonts w:ascii="Courier New" w:hAnsi="Courier New" w:cs="Courier New" w:hint="default"/>
      </w:rPr>
    </w:lvl>
    <w:lvl w:ilvl="8" w:tplc="041B0005">
      <w:start w:val="1"/>
      <w:numFmt w:val="bullet"/>
      <w:lvlText w:val=""/>
      <w:lvlJc w:val="left"/>
      <w:pPr>
        <w:ind w:left="6632" w:hanging="360"/>
      </w:pPr>
      <w:rPr>
        <w:rFonts w:ascii="Wingdings" w:hAnsi="Wingdings" w:hint="default"/>
      </w:rPr>
    </w:lvl>
  </w:abstractNum>
  <w:abstractNum w:abstractNumId="36">
    <w:nsid w:val="4EF54590"/>
    <w:multiLevelType w:val="hybridMultilevel"/>
    <w:tmpl w:val="EC980764"/>
    <w:lvl w:ilvl="0" w:tplc="ADA4FF3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5572A96"/>
    <w:multiLevelType w:val="hybridMultilevel"/>
    <w:tmpl w:val="FCC0FE24"/>
    <w:lvl w:ilvl="0" w:tplc="B13258EA">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nsid w:val="56206069"/>
    <w:multiLevelType w:val="hybridMultilevel"/>
    <w:tmpl w:val="EB501E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58880FDB"/>
    <w:multiLevelType w:val="hybridMultilevel"/>
    <w:tmpl w:val="F4784C4E"/>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0">
    <w:nsid w:val="598934C0"/>
    <w:multiLevelType w:val="hybridMultilevel"/>
    <w:tmpl w:val="D13EB4AE"/>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nsid w:val="5E146C68"/>
    <w:multiLevelType w:val="hybridMultilevel"/>
    <w:tmpl w:val="60C49450"/>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2">
    <w:nsid w:val="5EEF3268"/>
    <w:multiLevelType w:val="hybridMultilevel"/>
    <w:tmpl w:val="0B10C926"/>
    <w:lvl w:ilvl="0" w:tplc="34B43452">
      <w:start w:val="1"/>
      <w:numFmt w:val="bullet"/>
      <w:lvlText w:val=""/>
      <w:lvlJc w:val="left"/>
      <w:pPr>
        <w:tabs>
          <w:tab w:val="num" w:pos="3225"/>
        </w:tabs>
        <w:ind w:left="3225" w:hanging="360"/>
      </w:pPr>
      <w:rPr>
        <w:rFonts w:ascii="Wingdings" w:hAnsi="Wingdings" w:cs="Times New Roman" w:hint="default"/>
        <w:sz w:val="10"/>
        <w:szCs w:val="1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603F1F19"/>
    <w:multiLevelType w:val="multilevel"/>
    <w:tmpl w:val="4D6A4708"/>
    <w:lvl w:ilvl="0">
      <w:numFmt w:val="bullet"/>
      <w:lvlText w:val="-"/>
      <w:lvlJc w:val="left"/>
      <w:pPr>
        <w:ind w:left="3054" w:hanging="360"/>
      </w:pPr>
      <w:rPr>
        <w:rFonts w:ascii="Times New Roman" w:eastAsia="Calibri" w:hAnsi="Times New Roman" w:cs="Times New Roman"/>
        <w:u w:val="none"/>
      </w:rPr>
    </w:lvl>
    <w:lvl w:ilvl="1">
      <w:numFmt w:val="bullet"/>
      <w:lvlText w:val="o"/>
      <w:lvlJc w:val="left"/>
      <w:pPr>
        <w:ind w:left="3774" w:hanging="360"/>
      </w:pPr>
      <w:rPr>
        <w:rFonts w:ascii="Courier New" w:hAnsi="Courier New" w:cs="Courier New"/>
      </w:rPr>
    </w:lvl>
    <w:lvl w:ilvl="2">
      <w:numFmt w:val="bullet"/>
      <w:lvlText w:val=""/>
      <w:lvlJc w:val="left"/>
      <w:pPr>
        <w:ind w:left="4494" w:hanging="360"/>
      </w:pPr>
      <w:rPr>
        <w:rFonts w:ascii="Wingdings" w:hAnsi="Wingdings"/>
      </w:rPr>
    </w:lvl>
    <w:lvl w:ilvl="3">
      <w:numFmt w:val="bullet"/>
      <w:lvlText w:val=""/>
      <w:lvlJc w:val="left"/>
      <w:pPr>
        <w:ind w:left="5214" w:hanging="360"/>
      </w:pPr>
      <w:rPr>
        <w:rFonts w:ascii="Symbol" w:hAnsi="Symbol"/>
      </w:rPr>
    </w:lvl>
    <w:lvl w:ilvl="4">
      <w:numFmt w:val="bullet"/>
      <w:lvlText w:val="o"/>
      <w:lvlJc w:val="left"/>
      <w:pPr>
        <w:ind w:left="5934" w:hanging="360"/>
      </w:pPr>
      <w:rPr>
        <w:rFonts w:ascii="Courier New" w:hAnsi="Courier New" w:cs="Courier New"/>
      </w:rPr>
    </w:lvl>
    <w:lvl w:ilvl="5">
      <w:numFmt w:val="bullet"/>
      <w:lvlText w:val=""/>
      <w:lvlJc w:val="left"/>
      <w:pPr>
        <w:ind w:left="6654" w:hanging="360"/>
      </w:pPr>
      <w:rPr>
        <w:rFonts w:ascii="Wingdings" w:hAnsi="Wingdings"/>
      </w:rPr>
    </w:lvl>
    <w:lvl w:ilvl="6">
      <w:numFmt w:val="bullet"/>
      <w:lvlText w:val=""/>
      <w:lvlJc w:val="left"/>
      <w:pPr>
        <w:ind w:left="7374" w:hanging="360"/>
      </w:pPr>
      <w:rPr>
        <w:rFonts w:ascii="Symbol" w:hAnsi="Symbol"/>
      </w:rPr>
    </w:lvl>
    <w:lvl w:ilvl="7">
      <w:numFmt w:val="bullet"/>
      <w:lvlText w:val="o"/>
      <w:lvlJc w:val="left"/>
      <w:pPr>
        <w:ind w:left="8094" w:hanging="360"/>
      </w:pPr>
      <w:rPr>
        <w:rFonts w:ascii="Courier New" w:hAnsi="Courier New" w:cs="Courier New"/>
      </w:rPr>
    </w:lvl>
    <w:lvl w:ilvl="8">
      <w:numFmt w:val="bullet"/>
      <w:lvlText w:val=""/>
      <w:lvlJc w:val="left"/>
      <w:pPr>
        <w:ind w:left="8814" w:hanging="360"/>
      </w:pPr>
      <w:rPr>
        <w:rFonts w:ascii="Wingdings" w:hAnsi="Wingdings"/>
      </w:rPr>
    </w:lvl>
  </w:abstractNum>
  <w:abstractNum w:abstractNumId="44">
    <w:nsid w:val="608227B0"/>
    <w:multiLevelType w:val="multilevel"/>
    <w:tmpl w:val="66042D2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D231E42"/>
    <w:multiLevelType w:val="hybridMultilevel"/>
    <w:tmpl w:val="11B24AD0"/>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6">
    <w:nsid w:val="6D484091"/>
    <w:multiLevelType w:val="hybridMultilevel"/>
    <w:tmpl w:val="324872D6"/>
    <w:lvl w:ilvl="0" w:tplc="947AB1B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DD670D1"/>
    <w:multiLevelType w:val="hybridMultilevel"/>
    <w:tmpl w:val="C98A71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nsid w:val="6E4940CF"/>
    <w:multiLevelType w:val="hybridMultilevel"/>
    <w:tmpl w:val="F42833BE"/>
    <w:lvl w:ilvl="0" w:tplc="E9B41C2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nsid w:val="6EDA7330"/>
    <w:multiLevelType w:val="hybridMultilevel"/>
    <w:tmpl w:val="B03A40EC"/>
    <w:lvl w:ilvl="0" w:tplc="76981832">
      <w:numFmt w:val="bullet"/>
      <w:lvlText w:val="•"/>
      <w:lvlJc w:val="left"/>
      <w:pPr>
        <w:ind w:left="720" w:hanging="360"/>
      </w:pPr>
      <w:rPr>
        <w:rFonts w:ascii="TimesNewRoman" w:eastAsiaTheme="minorHAnsi" w:hAnsi="TimesNewRoman"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F7C46A4"/>
    <w:multiLevelType w:val="hybridMultilevel"/>
    <w:tmpl w:val="893A134C"/>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51">
    <w:nsid w:val="71790FBB"/>
    <w:multiLevelType w:val="hybridMultilevel"/>
    <w:tmpl w:val="E9449664"/>
    <w:lvl w:ilvl="0" w:tplc="DF2C39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1B0437A"/>
    <w:multiLevelType w:val="hybridMultilevel"/>
    <w:tmpl w:val="A3AA6382"/>
    <w:lvl w:ilvl="0" w:tplc="B13258EA">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53">
    <w:nsid w:val="73D879BA"/>
    <w:multiLevelType w:val="hybridMultilevel"/>
    <w:tmpl w:val="6BA64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4">
    <w:nsid w:val="7D9515C3"/>
    <w:multiLevelType w:val="hybridMultilevel"/>
    <w:tmpl w:val="401AB052"/>
    <w:lvl w:ilvl="0" w:tplc="29F2AAF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E832C29"/>
    <w:multiLevelType w:val="hybridMultilevel"/>
    <w:tmpl w:val="25E2A1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6">
    <w:nsid w:val="7FB47689"/>
    <w:multiLevelType w:val="hybridMultilevel"/>
    <w:tmpl w:val="16EA67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6"/>
  </w:num>
  <w:num w:numId="4">
    <w:abstractNumId w:val="40"/>
  </w:num>
  <w:num w:numId="5">
    <w:abstractNumId w:val="8"/>
  </w:num>
  <w:num w:numId="6">
    <w:abstractNumId w:val="17"/>
  </w:num>
  <w:num w:numId="7">
    <w:abstractNumId w:val="19"/>
  </w:num>
  <w:num w:numId="8">
    <w:abstractNumId w:val="9"/>
  </w:num>
  <w:num w:numId="9">
    <w:abstractNumId w:val="30"/>
  </w:num>
  <w:num w:numId="10">
    <w:abstractNumId w:val="44"/>
  </w:num>
  <w:num w:numId="11">
    <w:abstractNumId w:val="44"/>
    <w:lvlOverride w:ilvl="0">
      <w:startOverride w:val="1"/>
    </w:lvlOverride>
  </w:num>
  <w:num w:numId="12">
    <w:abstractNumId w:val="43"/>
  </w:num>
  <w:num w:numId="13">
    <w:abstractNumId w:val="25"/>
  </w:num>
  <w:num w:numId="14">
    <w:abstractNumId w:val="47"/>
  </w:num>
  <w:num w:numId="15">
    <w:abstractNumId w:val="56"/>
  </w:num>
  <w:num w:numId="16">
    <w:abstractNumId w:val="35"/>
  </w:num>
  <w:num w:numId="17">
    <w:abstractNumId w:val="29"/>
  </w:num>
  <w:num w:numId="18">
    <w:abstractNumId w:val="37"/>
  </w:num>
  <w:num w:numId="19">
    <w:abstractNumId w:val="16"/>
  </w:num>
  <w:num w:numId="20">
    <w:abstractNumId w:val="34"/>
  </w:num>
  <w:num w:numId="21">
    <w:abstractNumId w:val="50"/>
  </w:num>
  <w:num w:numId="22">
    <w:abstractNumId w:val="4"/>
  </w:num>
  <w:num w:numId="23">
    <w:abstractNumId w:val="2"/>
  </w:num>
  <w:num w:numId="24">
    <w:abstractNumId w:val="39"/>
  </w:num>
  <w:num w:numId="25">
    <w:abstractNumId w:val="28"/>
  </w:num>
  <w:num w:numId="26">
    <w:abstractNumId w:val="31"/>
  </w:num>
  <w:num w:numId="27">
    <w:abstractNumId w:val="33"/>
  </w:num>
  <w:num w:numId="28">
    <w:abstractNumId w:val="21"/>
  </w:num>
  <w:num w:numId="29">
    <w:abstractNumId w:val="22"/>
  </w:num>
  <w:num w:numId="30">
    <w:abstractNumId w:val="38"/>
  </w:num>
  <w:num w:numId="31">
    <w:abstractNumId w:val="23"/>
  </w:num>
  <w:num w:numId="32">
    <w:abstractNumId w:val="18"/>
  </w:num>
  <w:num w:numId="33">
    <w:abstractNumId w:val="3"/>
  </w:num>
  <w:num w:numId="34">
    <w:abstractNumId w:val="52"/>
  </w:num>
  <w:num w:numId="35">
    <w:abstractNumId w:val="14"/>
  </w:num>
  <w:num w:numId="36">
    <w:abstractNumId w:val="13"/>
  </w:num>
  <w:num w:numId="37">
    <w:abstractNumId w:val="5"/>
  </w:num>
  <w:num w:numId="38">
    <w:abstractNumId w:val="32"/>
  </w:num>
  <w:num w:numId="39">
    <w:abstractNumId w:val="45"/>
  </w:num>
  <w:num w:numId="40">
    <w:abstractNumId w:val="7"/>
  </w:num>
  <w:num w:numId="41">
    <w:abstractNumId w:val="11"/>
  </w:num>
  <w:num w:numId="42">
    <w:abstractNumId w:val="20"/>
  </w:num>
  <w:num w:numId="43">
    <w:abstractNumId w:val="41"/>
  </w:num>
  <w:num w:numId="44">
    <w:abstractNumId w:val="53"/>
  </w:num>
  <w:num w:numId="45">
    <w:abstractNumId w:val="12"/>
  </w:num>
  <w:num w:numId="46">
    <w:abstractNumId w:val="0"/>
  </w:num>
  <w:num w:numId="47">
    <w:abstractNumId w:val="27"/>
  </w:num>
  <w:num w:numId="48">
    <w:abstractNumId w:val="10"/>
  </w:num>
  <w:num w:numId="49">
    <w:abstractNumId w:val="42"/>
  </w:num>
  <w:num w:numId="50">
    <w:abstractNumId w:val="15"/>
  </w:num>
  <w:num w:numId="51">
    <w:abstractNumId w:val="46"/>
  </w:num>
  <w:num w:numId="52">
    <w:abstractNumId w:val="51"/>
  </w:num>
  <w:num w:numId="53">
    <w:abstractNumId w:val="48"/>
  </w:num>
  <w:num w:numId="54">
    <w:abstractNumId w:val="24"/>
  </w:num>
  <w:num w:numId="55">
    <w:abstractNumId w:val="36"/>
  </w:num>
  <w:num w:numId="56">
    <w:abstractNumId w:val="1"/>
  </w:num>
  <w:num w:numId="57">
    <w:abstractNumId w:val="49"/>
  </w:num>
  <w:num w:numId="58">
    <w:abstractNumId w:val="54"/>
  </w:num>
  <w:num w:numId="59">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3B"/>
    <w:rsid w:val="00002B49"/>
    <w:rsid w:val="00045717"/>
    <w:rsid w:val="0007396E"/>
    <w:rsid w:val="000B353B"/>
    <w:rsid w:val="000C133E"/>
    <w:rsid w:val="000D2FB2"/>
    <w:rsid w:val="00105120"/>
    <w:rsid w:val="00106D5A"/>
    <w:rsid w:val="00111C51"/>
    <w:rsid w:val="00112960"/>
    <w:rsid w:val="00127DC3"/>
    <w:rsid w:val="00140086"/>
    <w:rsid w:val="00196EEA"/>
    <w:rsid w:val="001A07A8"/>
    <w:rsid w:val="001A6DC0"/>
    <w:rsid w:val="001D47D3"/>
    <w:rsid w:val="001D668C"/>
    <w:rsid w:val="001F4031"/>
    <w:rsid w:val="001F68B7"/>
    <w:rsid w:val="0020133B"/>
    <w:rsid w:val="00203225"/>
    <w:rsid w:val="0023005B"/>
    <w:rsid w:val="00241025"/>
    <w:rsid w:val="002978ED"/>
    <w:rsid w:val="002A10F7"/>
    <w:rsid w:val="002C5A65"/>
    <w:rsid w:val="002D36F6"/>
    <w:rsid w:val="002E6484"/>
    <w:rsid w:val="003844D6"/>
    <w:rsid w:val="003910C9"/>
    <w:rsid w:val="003B1C4F"/>
    <w:rsid w:val="00401F2C"/>
    <w:rsid w:val="00463817"/>
    <w:rsid w:val="00487FA6"/>
    <w:rsid w:val="004E2D24"/>
    <w:rsid w:val="004F5F11"/>
    <w:rsid w:val="005072C2"/>
    <w:rsid w:val="0050775F"/>
    <w:rsid w:val="00507BF8"/>
    <w:rsid w:val="00515E8E"/>
    <w:rsid w:val="00517BBC"/>
    <w:rsid w:val="00542890"/>
    <w:rsid w:val="00572089"/>
    <w:rsid w:val="005A6A5C"/>
    <w:rsid w:val="005D6780"/>
    <w:rsid w:val="005E0CB8"/>
    <w:rsid w:val="005E6FEB"/>
    <w:rsid w:val="00633719"/>
    <w:rsid w:val="00640F4D"/>
    <w:rsid w:val="0064100E"/>
    <w:rsid w:val="00693F7F"/>
    <w:rsid w:val="006A34C1"/>
    <w:rsid w:val="006E4D4B"/>
    <w:rsid w:val="0071418D"/>
    <w:rsid w:val="007271FC"/>
    <w:rsid w:val="00732981"/>
    <w:rsid w:val="00752F1A"/>
    <w:rsid w:val="00754C75"/>
    <w:rsid w:val="007556FF"/>
    <w:rsid w:val="007A0320"/>
    <w:rsid w:val="007B451A"/>
    <w:rsid w:val="007C4F68"/>
    <w:rsid w:val="007F6B52"/>
    <w:rsid w:val="00826734"/>
    <w:rsid w:val="0083273D"/>
    <w:rsid w:val="00853CA6"/>
    <w:rsid w:val="0087354D"/>
    <w:rsid w:val="00886B93"/>
    <w:rsid w:val="00892EDC"/>
    <w:rsid w:val="008B3577"/>
    <w:rsid w:val="008C42CF"/>
    <w:rsid w:val="00921FBC"/>
    <w:rsid w:val="0096157D"/>
    <w:rsid w:val="009636BD"/>
    <w:rsid w:val="009B5000"/>
    <w:rsid w:val="009B7E52"/>
    <w:rsid w:val="009C2C48"/>
    <w:rsid w:val="009D643E"/>
    <w:rsid w:val="00A17663"/>
    <w:rsid w:val="00A3566F"/>
    <w:rsid w:val="00A37E5A"/>
    <w:rsid w:val="00A4588B"/>
    <w:rsid w:val="00A52092"/>
    <w:rsid w:val="00A52E5A"/>
    <w:rsid w:val="00A54A5F"/>
    <w:rsid w:val="00A703D7"/>
    <w:rsid w:val="00A834B6"/>
    <w:rsid w:val="00B01945"/>
    <w:rsid w:val="00B31D52"/>
    <w:rsid w:val="00B3590D"/>
    <w:rsid w:val="00BA35B6"/>
    <w:rsid w:val="00BC42DC"/>
    <w:rsid w:val="00BC45C1"/>
    <w:rsid w:val="00BE44B0"/>
    <w:rsid w:val="00BE50E4"/>
    <w:rsid w:val="00C01527"/>
    <w:rsid w:val="00C05E70"/>
    <w:rsid w:val="00C46863"/>
    <w:rsid w:val="00C63CD6"/>
    <w:rsid w:val="00C6653F"/>
    <w:rsid w:val="00C80988"/>
    <w:rsid w:val="00C929F8"/>
    <w:rsid w:val="00C95D2D"/>
    <w:rsid w:val="00CC4E89"/>
    <w:rsid w:val="00CD4C0A"/>
    <w:rsid w:val="00D3436B"/>
    <w:rsid w:val="00DC7AFA"/>
    <w:rsid w:val="00DE29F4"/>
    <w:rsid w:val="00E126AD"/>
    <w:rsid w:val="00E916C7"/>
    <w:rsid w:val="00EC2987"/>
    <w:rsid w:val="00EE20AB"/>
    <w:rsid w:val="00EE5BC3"/>
    <w:rsid w:val="00F140C1"/>
    <w:rsid w:val="00F30FA3"/>
    <w:rsid w:val="00F44FC4"/>
    <w:rsid w:val="00F644FF"/>
    <w:rsid w:val="00FD3D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353B"/>
    <w:pPr>
      <w:spacing w:after="0" w:line="240" w:lineRule="auto"/>
    </w:pPr>
    <w:rPr>
      <w:rFonts w:ascii="Times New Roman" w:eastAsia="Times New Roman" w:hAnsi="Times New Roman" w:cs="Times New Roman"/>
      <w:sz w:val="20"/>
      <w:szCs w:val="20"/>
      <w:lang w:val="cs-CZ" w:eastAsia="sk-SK"/>
    </w:rPr>
  </w:style>
  <w:style w:type="paragraph" w:styleId="Nadpis3">
    <w:name w:val="heading 3"/>
    <w:basedOn w:val="Normlny"/>
    <w:next w:val="Normlny"/>
    <w:link w:val="Nadpis3Char"/>
    <w:semiHidden/>
    <w:unhideWhenUsed/>
    <w:qFormat/>
    <w:rsid w:val="000B353B"/>
    <w:pPr>
      <w:keepNext/>
      <w:spacing w:before="240" w:after="60"/>
      <w:outlineLvl w:val="2"/>
    </w:pPr>
    <w:rPr>
      <w:rFonts w:ascii="Cambria" w:hAnsi="Cambria"/>
      <w:b/>
      <w:bCs/>
      <w:sz w:val="26"/>
      <w:szCs w:val="26"/>
      <w:lang w:val="sk-SK"/>
    </w:rPr>
  </w:style>
  <w:style w:type="paragraph" w:styleId="Nadpis4">
    <w:name w:val="heading 4"/>
    <w:basedOn w:val="Normlny"/>
    <w:next w:val="Normlny"/>
    <w:link w:val="Nadpis4Char"/>
    <w:uiPriority w:val="9"/>
    <w:semiHidden/>
    <w:unhideWhenUsed/>
    <w:qFormat/>
    <w:rsid w:val="00D34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B353B"/>
    <w:rPr>
      <w:color w:val="0000FF"/>
      <w:u w:val="single"/>
    </w:rPr>
  </w:style>
  <w:style w:type="paragraph" w:styleId="Odsekzoznamu">
    <w:name w:val="List Paragraph"/>
    <w:basedOn w:val="Normlny"/>
    <w:uiPriority w:val="34"/>
    <w:qFormat/>
    <w:rsid w:val="000B353B"/>
    <w:pPr>
      <w:suppressAutoHyphens/>
      <w:autoSpaceDN w:val="0"/>
      <w:ind w:left="720"/>
    </w:pPr>
    <w:rPr>
      <w:rFonts w:ascii="Calibri" w:eastAsia="Calibri" w:hAnsi="Calibri"/>
      <w:sz w:val="22"/>
      <w:szCs w:val="22"/>
      <w:lang w:val="sk-SK"/>
    </w:rPr>
  </w:style>
  <w:style w:type="paragraph" w:customStyle="1" w:styleId="listparagraph">
    <w:name w:val="listparagraph"/>
    <w:basedOn w:val="Normlny"/>
    <w:rsid w:val="000B353B"/>
    <w:pPr>
      <w:suppressAutoHyphens/>
      <w:autoSpaceDN w:val="0"/>
      <w:spacing w:after="200" w:line="276" w:lineRule="auto"/>
      <w:ind w:left="720"/>
    </w:pPr>
    <w:rPr>
      <w:rFonts w:ascii="Calibri" w:eastAsia="Calibri" w:hAnsi="Calibri"/>
      <w:sz w:val="22"/>
      <w:szCs w:val="22"/>
      <w:lang w:val="sk-SK"/>
    </w:rPr>
  </w:style>
  <w:style w:type="paragraph" w:styleId="Zarkazkladnhotextu">
    <w:name w:val="Body Text Indent"/>
    <w:basedOn w:val="Normlny"/>
    <w:link w:val="ZarkazkladnhotextuChar"/>
    <w:rsid w:val="000B353B"/>
    <w:pPr>
      <w:suppressAutoHyphens/>
      <w:autoSpaceDN w:val="0"/>
      <w:spacing w:after="120" w:line="276" w:lineRule="auto"/>
      <w:ind w:left="283"/>
      <w:textAlignment w:val="baseline"/>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rsid w:val="000B353B"/>
    <w:rPr>
      <w:rFonts w:ascii="Calibri" w:eastAsia="Calibri" w:hAnsi="Calibri" w:cs="Times New Roman"/>
    </w:rPr>
  </w:style>
  <w:style w:type="character" w:customStyle="1" w:styleId="Nadpis3Char">
    <w:name w:val="Nadpis 3 Char"/>
    <w:basedOn w:val="Predvolenpsmoodseku"/>
    <w:link w:val="Nadpis3"/>
    <w:semiHidden/>
    <w:rsid w:val="000B353B"/>
    <w:rPr>
      <w:rFonts w:ascii="Cambria" w:eastAsia="Times New Roman" w:hAnsi="Cambria" w:cs="Times New Roman"/>
      <w:b/>
      <w:bCs/>
      <w:sz w:val="26"/>
      <w:szCs w:val="26"/>
      <w:lang w:eastAsia="sk-SK"/>
    </w:rPr>
  </w:style>
  <w:style w:type="paragraph" w:styleId="Pokraovaniezoznamu2">
    <w:name w:val="List Continue 2"/>
    <w:basedOn w:val="Normlny"/>
    <w:uiPriority w:val="99"/>
    <w:unhideWhenUsed/>
    <w:rsid w:val="000B353B"/>
    <w:pPr>
      <w:spacing w:after="120"/>
      <w:ind w:left="566"/>
      <w:contextualSpacing/>
    </w:pPr>
    <w:rPr>
      <w:rFonts w:eastAsia="Calibri"/>
      <w:sz w:val="24"/>
      <w:szCs w:val="24"/>
      <w:lang w:val="sk-SK" w:eastAsia="ar-SA"/>
    </w:rPr>
  </w:style>
  <w:style w:type="paragraph" w:styleId="Nzov">
    <w:name w:val="Title"/>
    <w:basedOn w:val="Normlny"/>
    <w:link w:val="NzovChar"/>
    <w:qFormat/>
    <w:rsid w:val="000B353B"/>
    <w:pPr>
      <w:jc w:val="center"/>
    </w:pPr>
    <w:rPr>
      <w:b/>
      <w:bCs/>
      <w:sz w:val="32"/>
      <w:szCs w:val="24"/>
      <w:lang w:val="sk-SK" w:eastAsia="cs-CZ"/>
    </w:rPr>
  </w:style>
  <w:style w:type="character" w:customStyle="1" w:styleId="NzovChar">
    <w:name w:val="Názov Char"/>
    <w:basedOn w:val="Predvolenpsmoodseku"/>
    <w:link w:val="Nzov"/>
    <w:rsid w:val="000B353B"/>
    <w:rPr>
      <w:rFonts w:ascii="Times New Roman" w:eastAsia="Times New Roman" w:hAnsi="Times New Roman" w:cs="Times New Roman"/>
      <w:b/>
      <w:bCs/>
      <w:sz w:val="32"/>
      <w:szCs w:val="24"/>
      <w:lang w:eastAsia="cs-CZ"/>
    </w:rPr>
  </w:style>
  <w:style w:type="paragraph" w:styleId="Textbubliny">
    <w:name w:val="Balloon Text"/>
    <w:basedOn w:val="Normlny"/>
    <w:link w:val="TextbublinyChar"/>
    <w:uiPriority w:val="99"/>
    <w:semiHidden/>
    <w:unhideWhenUsed/>
    <w:rsid w:val="000B353B"/>
    <w:rPr>
      <w:rFonts w:ascii="Tahoma" w:hAnsi="Tahoma" w:cs="Tahoma"/>
      <w:sz w:val="16"/>
      <w:szCs w:val="16"/>
    </w:rPr>
  </w:style>
  <w:style w:type="character" w:customStyle="1" w:styleId="TextbublinyChar">
    <w:name w:val="Text bubliny Char"/>
    <w:basedOn w:val="Predvolenpsmoodseku"/>
    <w:link w:val="Textbubliny"/>
    <w:uiPriority w:val="99"/>
    <w:semiHidden/>
    <w:rsid w:val="000B353B"/>
    <w:rPr>
      <w:rFonts w:ascii="Tahoma" w:eastAsia="Times New Roman" w:hAnsi="Tahoma" w:cs="Tahoma"/>
      <w:sz w:val="16"/>
      <w:szCs w:val="16"/>
      <w:lang w:val="cs-CZ" w:eastAsia="sk-SK"/>
    </w:rPr>
  </w:style>
  <w:style w:type="paragraph" w:styleId="Hlavika">
    <w:name w:val="header"/>
    <w:basedOn w:val="Normlny"/>
    <w:link w:val="HlavikaChar"/>
    <w:uiPriority w:val="99"/>
    <w:semiHidden/>
    <w:unhideWhenUsed/>
    <w:rsid w:val="004E2D24"/>
    <w:pPr>
      <w:tabs>
        <w:tab w:val="center" w:pos="4536"/>
        <w:tab w:val="right" w:pos="9072"/>
      </w:tabs>
    </w:pPr>
  </w:style>
  <w:style w:type="character" w:customStyle="1" w:styleId="HlavikaChar">
    <w:name w:val="Hlavička Char"/>
    <w:basedOn w:val="Predvolenpsmoodseku"/>
    <w:link w:val="Hlavika"/>
    <w:uiPriority w:val="99"/>
    <w:semiHidden/>
    <w:rsid w:val="004E2D24"/>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4E2D24"/>
    <w:pPr>
      <w:tabs>
        <w:tab w:val="center" w:pos="4536"/>
        <w:tab w:val="right" w:pos="9072"/>
      </w:tabs>
    </w:pPr>
  </w:style>
  <w:style w:type="character" w:customStyle="1" w:styleId="PtaChar">
    <w:name w:val="Päta Char"/>
    <w:basedOn w:val="Predvolenpsmoodseku"/>
    <w:link w:val="Pta"/>
    <w:uiPriority w:val="99"/>
    <w:rsid w:val="004E2D24"/>
    <w:rPr>
      <w:rFonts w:ascii="Times New Roman" w:eastAsia="Times New Roman" w:hAnsi="Times New Roman" w:cs="Times New Roman"/>
      <w:sz w:val="20"/>
      <w:szCs w:val="20"/>
      <w:lang w:val="cs-CZ" w:eastAsia="sk-SK"/>
    </w:rPr>
  </w:style>
  <w:style w:type="character" w:customStyle="1" w:styleId="Nadpis4Char">
    <w:name w:val="Nadpis 4 Char"/>
    <w:basedOn w:val="Predvolenpsmoodseku"/>
    <w:link w:val="Nadpis4"/>
    <w:uiPriority w:val="9"/>
    <w:semiHidden/>
    <w:rsid w:val="00D3436B"/>
    <w:rPr>
      <w:rFonts w:asciiTheme="majorHAnsi" w:eastAsiaTheme="majorEastAsia" w:hAnsiTheme="majorHAnsi" w:cstheme="majorBidi"/>
      <w:b/>
      <w:bCs/>
      <w:i/>
      <w:iCs/>
      <w:color w:val="4F81BD" w:themeColor="accent1"/>
      <w:sz w:val="20"/>
      <w:szCs w:val="20"/>
      <w:lang w:val="cs-CZ" w:eastAsia="sk-SK"/>
    </w:rPr>
  </w:style>
  <w:style w:type="paragraph" w:customStyle="1" w:styleId="Default">
    <w:name w:val="Default"/>
    <w:rsid w:val="00D34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Normlny"/>
    <w:rsid w:val="00D3436B"/>
    <w:pPr>
      <w:ind w:left="720"/>
    </w:pPr>
    <w:rPr>
      <w:rFonts w:eastAsia="Batang"/>
      <w:sz w:val="24"/>
      <w:szCs w:val="24"/>
      <w:lang w:val="sk-SK" w:eastAsia="ko-KR"/>
    </w:rPr>
  </w:style>
  <w:style w:type="paragraph" w:customStyle="1" w:styleId="odsek1">
    <w:name w:val="odsek1"/>
    <w:basedOn w:val="Normlny"/>
    <w:rsid w:val="00D3436B"/>
    <w:pPr>
      <w:keepNext/>
      <w:numPr>
        <w:numId w:val="50"/>
      </w:numPr>
      <w:spacing w:before="120" w:after="120"/>
      <w:jc w:val="both"/>
    </w:pPr>
    <w:rPr>
      <w:sz w:val="24"/>
      <w:szCs w:val="24"/>
      <w:lang w:val="sk-SK"/>
    </w:rPr>
  </w:style>
  <w:style w:type="paragraph" w:styleId="Normlnywebov">
    <w:name w:val="Normal (Web)"/>
    <w:basedOn w:val="Normlny"/>
    <w:uiPriority w:val="99"/>
    <w:unhideWhenUsed/>
    <w:rsid w:val="00C63CD6"/>
    <w:pPr>
      <w:spacing w:before="100" w:beforeAutospacing="1" w:after="100" w:afterAutospacing="1"/>
    </w:pPr>
    <w:rPr>
      <w:sz w:val="24"/>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353B"/>
    <w:pPr>
      <w:spacing w:after="0" w:line="240" w:lineRule="auto"/>
    </w:pPr>
    <w:rPr>
      <w:rFonts w:ascii="Times New Roman" w:eastAsia="Times New Roman" w:hAnsi="Times New Roman" w:cs="Times New Roman"/>
      <w:sz w:val="20"/>
      <w:szCs w:val="20"/>
      <w:lang w:val="cs-CZ" w:eastAsia="sk-SK"/>
    </w:rPr>
  </w:style>
  <w:style w:type="paragraph" w:styleId="Nadpis3">
    <w:name w:val="heading 3"/>
    <w:basedOn w:val="Normlny"/>
    <w:next w:val="Normlny"/>
    <w:link w:val="Nadpis3Char"/>
    <w:semiHidden/>
    <w:unhideWhenUsed/>
    <w:qFormat/>
    <w:rsid w:val="000B353B"/>
    <w:pPr>
      <w:keepNext/>
      <w:spacing w:before="240" w:after="60"/>
      <w:outlineLvl w:val="2"/>
    </w:pPr>
    <w:rPr>
      <w:rFonts w:ascii="Cambria" w:hAnsi="Cambria"/>
      <w:b/>
      <w:bCs/>
      <w:sz w:val="26"/>
      <w:szCs w:val="26"/>
      <w:lang w:val="sk-SK"/>
    </w:rPr>
  </w:style>
  <w:style w:type="paragraph" w:styleId="Nadpis4">
    <w:name w:val="heading 4"/>
    <w:basedOn w:val="Normlny"/>
    <w:next w:val="Normlny"/>
    <w:link w:val="Nadpis4Char"/>
    <w:uiPriority w:val="9"/>
    <w:semiHidden/>
    <w:unhideWhenUsed/>
    <w:qFormat/>
    <w:rsid w:val="00D34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B353B"/>
    <w:rPr>
      <w:color w:val="0000FF"/>
      <w:u w:val="single"/>
    </w:rPr>
  </w:style>
  <w:style w:type="paragraph" w:styleId="Odsekzoznamu">
    <w:name w:val="List Paragraph"/>
    <w:basedOn w:val="Normlny"/>
    <w:uiPriority w:val="34"/>
    <w:qFormat/>
    <w:rsid w:val="000B353B"/>
    <w:pPr>
      <w:suppressAutoHyphens/>
      <w:autoSpaceDN w:val="0"/>
      <w:ind w:left="720"/>
    </w:pPr>
    <w:rPr>
      <w:rFonts w:ascii="Calibri" w:eastAsia="Calibri" w:hAnsi="Calibri"/>
      <w:sz w:val="22"/>
      <w:szCs w:val="22"/>
      <w:lang w:val="sk-SK"/>
    </w:rPr>
  </w:style>
  <w:style w:type="paragraph" w:customStyle="1" w:styleId="listparagraph">
    <w:name w:val="listparagraph"/>
    <w:basedOn w:val="Normlny"/>
    <w:rsid w:val="000B353B"/>
    <w:pPr>
      <w:suppressAutoHyphens/>
      <w:autoSpaceDN w:val="0"/>
      <w:spacing w:after="200" w:line="276" w:lineRule="auto"/>
      <w:ind w:left="720"/>
    </w:pPr>
    <w:rPr>
      <w:rFonts w:ascii="Calibri" w:eastAsia="Calibri" w:hAnsi="Calibri"/>
      <w:sz w:val="22"/>
      <w:szCs w:val="22"/>
      <w:lang w:val="sk-SK"/>
    </w:rPr>
  </w:style>
  <w:style w:type="paragraph" w:styleId="Zarkazkladnhotextu">
    <w:name w:val="Body Text Indent"/>
    <w:basedOn w:val="Normlny"/>
    <w:link w:val="ZarkazkladnhotextuChar"/>
    <w:rsid w:val="000B353B"/>
    <w:pPr>
      <w:suppressAutoHyphens/>
      <w:autoSpaceDN w:val="0"/>
      <w:spacing w:after="120" w:line="276" w:lineRule="auto"/>
      <w:ind w:left="283"/>
      <w:textAlignment w:val="baseline"/>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rsid w:val="000B353B"/>
    <w:rPr>
      <w:rFonts w:ascii="Calibri" w:eastAsia="Calibri" w:hAnsi="Calibri" w:cs="Times New Roman"/>
    </w:rPr>
  </w:style>
  <w:style w:type="character" w:customStyle="1" w:styleId="Nadpis3Char">
    <w:name w:val="Nadpis 3 Char"/>
    <w:basedOn w:val="Predvolenpsmoodseku"/>
    <w:link w:val="Nadpis3"/>
    <w:semiHidden/>
    <w:rsid w:val="000B353B"/>
    <w:rPr>
      <w:rFonts w:ascii="Cambria" w:eastAsia="Times New Roman" w:hAnsi="Cambria" w:cs="Times New Roman"/>
      <w:b/>
      <w:bCs/>
      <w:sz w:val="26"/>
      <w:szCs w:val="26"/>
      <w:lang w:eastAsia="sk-SK"/>
    </w:rPr>
  </w:style>
  <w:style w:type="paragraph" w:styleId="Pokraovaniezoznamu2">
    <w:name w:val="List Continue 2"/>
    <w:basedOn w:val="Normlny"/>
    <w:uiPriority w:val="99"/>
    <w:unhideWhenUsed/>
    <w:rsid w:val="000B353B"/>
    <w:pPr>
      <w:spacing w:after="120"/>
      <w:ind w:left="566"/>
      <w:contextualSpacing/>
    </w:pPr>
    <w:rPr>
      <w:rFonts w:eastAsia="Calibri"/>
      <w:sz w:val="24"/>
      <w:szCs w:val="24"/>
      <w:lang w:val="sk-SK" w:eastAsia="ar-SA"/>
    </w:rPr>
  </w:style>
  <w:style w:type="paragraph" w:styleId="Nzov">
    <w:name w:val="Title"/>
    <w:basedOn w:val="Normlny"/>
    <w:link w:val="NzovChar"/>
    <w:qFormat/>
    <w:rsid w:val="000B353B"/>
    <w:pPr>
      <w:jc w:val="center"/>
    </w:pPr>
    <w:rPr>
      <w:b/>
      <w:bCs/>
      <w:sz w:val="32"/>
      <w:szCs w:val="24"/>
      <w:lang w:val="sk-SK" w:eastAsia="cs-CZ"/>
    </w:rPr>
  </w:style>
  <w:style w:type="character" w:customStyle="1" w:styleId="NzovChar">
    <w:name w:val="Názov Char"/>
    <w:basedOn w:val="Predvolenpsmoodseku"/>
    <w:link w:val="Nzov"/>
    <w:rsid w:val="000B353B"/>
    <w:rPr>
      <w:rFonts w:ascii="Times New Roman" w:eastAsia="Times New Roman" w:hAnsi="Times New Roman" w:cs="Times New Roman"/>
      <w:b/>
      <w:bCs/>
      <w:sz w:val="32"/>
      <w:szCs w:val="24"/>
      <w:lang w:eastAsia="cs-CZ"/>
    </w:rPr>
  </w:style>
  <w:style w:type="paragraph" w:styleId="Textbubliny">
    <w:name w:val="Balloon Text"/>
    <w:basedOn w:val="Normlny"/>
    <w:link w:val="TextbublinyChar"/>
    <w:uiPriority w:val="99"/>
    <w:semiHidden/>
    <w:unhideWhenUsed/>
    <w:rsid w:val="000B353B"/>
    <w:rPr>
      <w:rFonts w:ascii="Tahoma" w:hAnsi="Tahoma" w:cs="Tahoma"/>
      <w:sz w:val="16"/>
      <w:szCs w:val="16"/>
    </w:rPr>
  </w:style>
  <w:style w:type="character" w:customStyle="1" w:styleId="TextbublinyChar">
    <w:name w:val="Text bubliny Char"/>
    <w:basedOn w:val="Predvolenpsmoodseku"/>
    <w:link w:val="Textbubliny"/>
    <w:uiPriority w:val="99"/>
    <w:semiHidden/>
    <w:rsid w:val="000B353B"/>
    <w:rPr>
      <w:rFonts w:ascii="Tahoma" w:eastAsia="Times New Roman" w:hAnsi="Tahoma" w:cs="Tahoma"/>
      <w:sz w:val="16"/>
      <w:szCs w:val="16"/>
      <w:lang w:val="cs-CZ" w:eastAsia="sk-SK"/>
    </w:rPr>
  </w:style>
  <w:style w:type="paragraph" w:styleId="Hlavika">
    <w:name w:val="header"/>
    <w:basedOn w:val="Normlny"/>
    <w:link w:val="HlavikaChar"/>
    <w:uiPriority w:val="99"/>
    <w:semiHidden/>
    <w:unhideWhenUsed/>
    <w:rsid w:val="004E2D24"/>
    <w:pPr>
      <w:tabs>
        <w:tab w:val="center" w:pos="4536"/>
        <w:tab w:val="right" w:pos="9072"/>
      </w:tabs>
    </w:pPr>
  </w:style>
  <w:style w:type="character" w:customStyle="1" w:styleId="HlavikaChar">
    <w:name w:val="Hlavička Char"/>
    <w:basedOn w:val="Predvolenpsmoodseku"/>
    <w:link w:val="Hlavika"/>
    <w:uiPriority w:val="99"/>
    <w:semiHidden/>
    <w:rsid w:val="004E2D24"/>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4E2D24"/>
    <w:pPr>
      <w:tabs>
        <w:tab w:val="center" w:pos="4536"/>
        <w:tab w:val="right" w:pos="9072"/>
      </w:tabs>
    </w:pPr>
  </w:style>
  <w:style w:type="character" w:customStyle="1" w:styleId="PtaChar">
    <w:name w:val="Päta Char"/>
    <w:basedOn w:val="Predvolenpsmoodseku"/>
    <w:link w:val="Pta"/>
    <w:uiPriority w:val="99"/>
    <w:rsid w:val="004E2D24"/>
    <w:rPr>
      <w:rFonts w:ascii="Times New Roman" w:eastAsia="Times New Roman" w:hAnsi="Times New Roman" w:cs="Times New Roman"/>
      <w:sz w:val="20"/>
      <w:szCs w:val="20"/>
      <w:lang w:val="cs-CZ" w:eastAsia="sk-SK"/>
    </w:rPr>
  </w:style>
  <w:style w:type="character" w:customStyle="1" w:styleId="Nadpis4Char">
    <w:name w:val="Nadpis 4 Char"/>
    <w:basedOn w:val="Predvolenpsmoodseku"/>
    <w:link w:val="Nadpis4"/>
    <w:uiPriority w:val="9"/>
    <w:semiHidden/>
    <w:rsid w:val="00D3436B"/>
    <w:rPr>
      <w:rFonts w:asciiTheme="majorHAnsi" w:eastAsiaTheme="majorEastAsia" w:hAnsiTheme="majorHAnsi" w:cstheme="majorBidi"/>
      <w:b/>
      <w:bCs/>
      <w:i/>
      <w:iCs/>
      <w:color w:val="4F81BD" w:themeColor="accent1"/>
      <w:sz w:val="20"/>
      <w:szCs w:val="20"/>
      <w:lang w:val="cs-CZ" w:eastAsia="sk-SK"/>
    </w:rPr>
  </w:style>
  <w:style w:type="paragraph" w:customStyle="1" w:styleId="Default">
    <w:name w:val="Default"/>
    <w:rsid w:val="00D34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Normlny"/>
    <w:rsid w:val="00D3436B"/>
    <w:pPr>
      <w:ind w:left="720"/>
    </w:pPr>
    <w:rPr>
      <w:rFonts w:eastAsia="Batang"/>
      <w:sz w:val="24"/>
      <w:szCs w:val="24"/>
      <w:lang w:val="sk-SK" w:eastAsia="ko-KR"/>
    </w:rPr>
  </w:style>
  <w:style w:type="paragraph" w:customStyle="1" w:styleId="odsek1">
    <w:name w:val="odsek1"/>
    <w:basedOn w:val="Normlny"/>
    <w:rsid w:val="00D3436B"/>
    <w:pPr>
      <w:keepNext/>
      <w:numPr>
        <w:numId w:val="50"/>
      </w:numPr>
      <w:spacing w:before="120" w:after="120"/>
      <w:jc w:val="both"/>
    </w:pPr>
    <w:rPr>
      <w:sz w:val="24"/>
      <w:szCs w:val="24"/>
      <w:lang w:val="sk-SK"/>
    </w:rPr>
  </w:style>
  <w:style w:type="paragraph" w:styleId="Normlnywebov">
    <w:name w:val="Normal (Web)"/>
    <w:basedOn w:val="Normlny"/>
    <w:uiPriority w:val="99"/>
    <w:unhideWhenUsed/>
    <w:rsid w:val="00C63CD6"/>
    <w:pPr>
      <w:spacing w:before="100" w:beforeAutospacing="1" w:after="100" w:afterAutospacing="1"/>
    </w:pPr>
    <w:rPr>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kolskeovoci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507D-51D5-42A4-9954-224A056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6206</Words>
  <Characters>35378</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Kočanová Ivana</cp:lastModifiedBy>
  <cp:revision>2</cp:revision>
  <cp:lastPrinted>2015-06-19T10:07:00Z</cp:lastPrinted>
  <dcterms:created xsi:type="dcterms:W3CDTF">2016-07-27T05:48:00Z</dcterms:created>
  <dcterms:modified xsi:type="dcterms:W3CDTF">2016-07-27T05:48:00Z</dcterms:modified>
</cp:coreProperties>
</file>