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CC401A" w:rsidP="00A40621">
            <w:pPr>
              <w:spacing w:after="200"/>
              <w:jc w:val="both"/>
            </w:pPr>
            <w:r>
              <w:t xml:space="preserve">Návrh zákona, </w:t>
            </w:r>
            <w:r w:rsidR="00A40621" w:rsidRPr="00A40621">
              <w:t xml:space="preserve">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 znení neskorších predpisov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  <w:p w:rsidR="00CC401A" w:rsidRPr="00CC401A" w:rsidRDefault="00CC401A" w:rsidP="007B71A4">
            <w:pPr>
              <w:pStyle w:val="Odsekzoznamu"/>
              <w:ind w:left="142"/>
              <w:rPr>
                <w:rFonts w:ascii="Times New Roman" w:hAnsi="Times New Roman" w:cs="Times New Roman"/>
              </w:rPr>
            </w:pPr>
            <w:r w:rsidRPr="00CC401A">
              <w:rPr>
                <w:rFonts w:ascii="Times New Roman" w:hAnsi="Times New Roman" w:cs="Times New Roman"/>
              </w:rPr>
              <w:t>Ministerstvo kultúry Slovenskej republiky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CC401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211DF" w:rsidRDefault="006576E2" w:rsidP="007B71A4">
            <w:r w:rsidRPr="00A211DF">
              <w:t>16</w:t>
            </w:r>
            <w:r w:rsidR="00CC401A" w:rsidRPr="00A211DF">
              <w:t>.</w:t>
            </w:r>
            <w:r w:rsidR="003D77A1">
              <w:t xml:space="preserve"> </w:t>
            </w:r>
            <w:r w:rsidR="00CC401A" w:rsidRPr="00A211DF">
              <w:t>5.</w:t>
            </w:r>
            <w:r w:rsidR="003D77A1">
              <w:t xml:space="preserve"> </w:t>
            </w:r>
            <w:r w:rsidR="00CC401A" w:rsidRPr="00A211DF">
              <w:t xml:space="preserve">2016 </w:t>
            </w:r>
            <w:r w:rsidR="00F56811" w:rsidRPr="00A211DF">
              <w:t>–</w:t>
            </w:r>
            <w:r w:rsidR="00CC401A" w:rsidRPr="00A211DF">
              <w:t xml:space="preserve"> </w:t>
            </w:r>
            <w:r w:rsidR="003D77A1">
              <w:t>20</w:t>
            </w:r>
            <w:r w:rsidR="00F56811" w:rsidRPr="00A211DF">
              <w:t>.</w:t>
            </w:r>
            <w:r w:rsidR="003D77A1">
              <w:t xml:space="preserve"> </w:t>
            </w:r>
            <w:r w:rsidR="00F56811" w:rsidRPr="00A211DF">
              <w:t>5.</w:t>
            </w:r>
            <w:r w:rsidR="003D77A1">
              <w:t xml:space="preserve"> </w:t>
            </w:r>
            <w:r w:rsidR="00F56811" w:rsidRPr="00A211DF">
              <w:t>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211DF" w:rsidRDefault="003D77A1" w:rsidP="007B71A4">
            <w:r>
              <w:t>23</w:t>
            </w:r>
            <w:r w:rsidR="00CC401A" w:rsidRPr="00A211DF">
              <w:t>.</w:t>
            </w:r>
            <w:r>
              <w:t xml:space="preserve"> </w:t>
            </w:r>
            <w:r w:rsidR="00CC401A" w:rsidRPr="00A211DF">
              <w:t>5</w:t>
            </w:r>
            <w:r>
              <w:t xml:space="preserve"> </w:t>
            </w:r>
            <w:r w:rsidR="00CC401A" w:rsidRPr="00A211DF">
              <w:t>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B1CA4" w:rsidRDefault="00AB1CA4" w:rsidP="007B71A4">
            <w:r w:rsidRPr="00AB1CA4">
              <w:t>j</w:t>
            </w:r>
            <w:r w:rsidR="0044465F">
              <w:t>úl</w:t>
            </w:r>
            <w:r w:rsidR="00CC401A" w:rsidRPr="00AB1CA4">
              <w:t xml:space="preserve">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2B482C" w:rsidRDefault="002B482C" w:rsidP="007B71A4">
            <w:pPr>
              <w:rPr>
                <w:i/>
              </w:rPr>
            </w:pPr>
          </w:p>
          <w:p w:rsidR="007D4863" w:rsidRPr="00AB1CA4" w:rsidRDefault="00AB1CA4" w:rsidP="002B482C">
            <w:pPr>
              <w:jc w:val="both"/>
            </w:pPr>
            <w:r>
              <w:t>Návrh zákona reaguje na dlhodobé finančné poddimenzovanie v</w:t>
            </w:r>
            <w:r w:rsidR="00C047C2">
              <w:t>ysielateľa poskytujúceho službu verejnosti v oblasti vysielania. Sadzba úhrady za služby verejnosti sa nezvyšova</w:t>
            </w:r>
            <w:r w:rsidR="002B482C">
              <w:t>la od roku 2003. Na to, aby Rozhlas a televízia Slovenska (ďalej len „RTVS“) mohol</w:t>
            </w:r>
            <w:r w:rsidR="00C047C2">
              <w:t xml:space="preserve"> napĺňať obsah služby verejnosti v oblasti vysielania, a to na divákmi a poslucháčmi požadovanej úrovni, a pritom technologicky držať krok so súčasnými požiadavkami trhu mediálnych služieb</w:t>
            </w:r>
            <w:r w:rsidR="002B482C">
              <w:t>,</w:t>
            </w:r>
            <w:r w:rsidR="00C047C2">
              <w:t xml:space="preserve"> nedisponuje v súčasnosti dostatočným množstvom prostr</w:t>
            </w:r>
            <w:r w:rsidR="000C6342">
              <w:t xml:space="preserve">iedkov. Do budúcna sa navrhuje </w:t>
            </w:r>
            <w:r w:rsidR="00C047C2">
              <w:t>taký mechanizmus úpravy sadzby úhrady, ktorý bude reflektovať celkový vývoj</w:t>
            </w:r>
            <w:r w:rsidR="00125DB2">
              <w:t xml:space="preserve"> inflácie meranej indexom spotrebiteľských cien.</w:t>
            </w:r>
            <w:r w:rsidR="00C047C2">
              <w:t xml:space="preserve"> </w:t>
            </w:r>
            <w:r w:rsidR="007D4863">
              <w:t xml:space="preserve">Návrh zákona predpokladá vytvorenie novej televíznej programovej služby, ako aj bohatší obsah </w:t>
            </w:r>
            <w:r w:rsidR="00A211DF">
              <w:t xml:space="preserve">nielen </w:t>
            </w:r>
            <w:r w:rsidR="007D4863">
              <w:t>v oblasti nových médií.</w:t>
            </w:r>
          </w:p>
          <w:p w:rsidR="003501A1" w:rsidRPr="007D4863" w:rsidRDefault="007D4863" w:rsidP="00E111B4">
            <w:pPr>
              <w:jc w:val="both"/>
            </w:pPr>
            <w:r>
              <w:t xml:space="preserve">Navrhuje sa oslobodenie od platenia úhrady pre sociálne najslabšiu skupinu občanov, a to </w:t>
            </w:r>
            <w:r w:rsidR="00E111B4">
              <w:t xml:space="preserve">príjemcov pomoci </w:t>
            </w:r>
            <w:r>
              <w:t>v hmotnej núdzi</w:t>
            </w:r>
            <w:r w:rsidR="002B482C">
              <w:t xml:space="preserve"> a osoby spoločne posudzované s</w:t>
            </w:r>
            <w:r w:rsidR="00E111B4">
              <w:t> príjemcom pomoci</w:t>
            </w:r>
            <w:r w:rsidR="002B482C">
              <w:t xml:space="preserve"> v hmotnej núdzi</w:t>
            </w:r>
            <w:r>
              <w:t>. Zároveň sa znižuje administratívna záťaž pre všetkých platiteľov úhrad a osoby oslobodené od</w:t>
            </w:r>
            <w:r w:rsidR="002B482C">
              <w:t xml:space="preserve"> povinnosti platiť úhradu, ktorí</w:t>
            </w:r>
            <w:r>
              <w:t xml:space="preserve"> už budú údaje vyberateľovi úhrady povinní len oznámiť, odpadne im povinnosť ich preukazovať.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2B482C" w:rsidRPr="00A179AE" w:rsidRDefault="002B482C" w:rsidP="007B71A4">
            <w:pPr>
              <w:rPr>
                <w:i/>
              </w:rPr>
            </w:pPr>
          </w:p>
          <w:p w:rsidR="003501A1" w:rsidRPr="00A179AE" w:rsidRDefault="00ED5E85" w:rsidP="00125DB2">
            <w:pPr>
              <w:jc w:val="both"/>
            </w:pPr>
            <w:r>
              <w:t xml:space="preserve">Cieľom predkladaného návrhu je finančne stabilizovať verejnoprávne vysielanie na Slovensku, zaviesť </w:t>
            </w:r>
            <w:r w:rsidR="00125DB2">
              <w:t xml:space="preserve">objektívny </w:t>
            </w:r>
            <w:r>
              <w:t xml:space="preserve">systém </w:t>
            </w:r>
            <w:r w:rsidR="00125DB2">
              <w:t>valorizácie</w:t>
            </w:r>
            <w:r>
              <w:t xml:space="preserve"> úhrady za služby verejnosti poskytované RTVS, oslobodiť najslabšiu sociálnu skupinu od povinnosti platiť úhrady, znížiť administratívnu záťaž platiteľov úhrady, poskytnúť poslucháčom a divákom obsahovú protihodnotu za zvýšené úhrady.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B482C" w:rsidRDefault="003501A1" w:rsidP="002B482C">
            <w:pPr>
              <w:jc w:val="both"/>
            </w:pPr>
            <w:r w:rsidRPr="002B482C">
              <w:t>Uveďte subjekty, ktorých sa zmeny návrhu dotknú priamo aj nepriamo:</w:t>
            </w:r>
          </w:p>
          <w:p w:rsidR="002B482C" w:rsidRPr="002B482C" w:rsidRDefault="002B482C" w:rsidP="002B482C">
            <w:pPr>
              <w:jc w:val="both"/>
            </w:pPr>
          </w:p>
          <w:p w:rsidR="002B482C" w:rsidRDefault="00ED5E85" w:rsidP="002B482C">
            <w:pPr>
              <w:jc w:val="both"/>
            </w:pPr>
            <w:r>
              <w:t xml:space="preserve">Návrh zákona sa dotkne priamo: </w:t>
            </w:r>
          </w:p>
          <w:p w:rsidR="00ED5E85" w:rsidRDefault="002B482C" w:rsidP="002B482C">
            <w:pPr>
              <w:jc w:val="both"/>
            </w:pPr>
            <w:r>
              <w:t xml:space="preserve">- </w:t>
            </w:r>
            <w:r w:rsidR="00ED5E85">
              <w:t>platiteľov úhrad, ktorými sú:</w:t>
            </w:r>
          </w:p>
          <w:p w:rsidR="00533B8C" w:rsidRPr="002B482C" w:rsidRDefault="00ED5E85" w:rsidP="002B482C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fyzické osoby, ktoré sú </w:t>
            </w:r>
            <w:r w:rsidR="003D77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evidované dodávateľom elektriny</w:t>
            </w:r>
            <w:r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evidencii odberateľov elektriny v domácnosti  ako odberateľ elektriny v domácnosti v odbernom mieste, pre spotrebu v byte alebo v </w:t>
            </w:r>
            <w:r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rodinnom dome, z tejto kategórie platiteľo</w:t>
            </w:r>
            <w:r w:rsidR="00533B8C"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sa návrh osobitne dotkne osôb</w:t>
            </w:r>
            <w:r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ktoré sú </w:t>
            </w:r>
            <w:r w:rsidR="00125D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príjemcami pomoci </w:t>
            </w:r>
            <w:r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hmotnej núdzi alebo</w:t>
            </w:r>
            <w:r w:rsidR="00533B8C"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 osobou spoločne posudzovanou s</w:t>
            </w:r>
            <w:r w:rsidR="00125DB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príjemcom pomoci</w:t>
            </w:r>
            <w:r w:rsidR="00533B8C"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hmotnej núdzi, keďže ich zákon od platenia úhrad oslobodí úplne,</w:t>
            </w:r>
          </w:p>
          <w:p w:rsidR="002B482C" w:rsidRDefault="00533B8C" w:rsidP="002B482C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48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zamestnávatelia, ktorí v pracovnom pomere alebo v obdobnom pracovnom vzťahu zamestnáva aspoň troch zamestnancov,</w:t>
            </w:r>
          </w:p>
          <w:p w:rsidR="003501A1" w:rsidRPr="0000762B" w:rsidRDefault="002B482C" w:rsidP="000C6342">
            <w:pPr>
              <w:pStyle w:val="Odsekzoznamu"/>
              <w:numPr>
                <w:ilvl w:val="0"/>
                <w:numId w:val="10"/>
              </w:numPr>
              <w:ind w:left="-567" w:firstLine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482C">
              <w:rPr>
                <w:rFonts w:ascii="Times New Roman" w:hAnsi="Times New Roman" w:cs="Times New Roman"/>
                <w:sz w:val="20"/>
                <w:szCs w:val="20"/>
              </w:rPr>
              <w:t>RTVS</w:t>
            </w:r>
            <w:r w:rsidR="000C6342">
              <w:rPr>
                <w:sz w:val="20"/>
                <w:szCs w:val="20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4C1CBC" w:rsidRDefault="004C1CBC" w:rsidP="007B71A4">
            <w:pPr>
              <w:rPr>
                <w:i/>
              </w:rPr>
            </w:pPr>
          </w:p>
          <w:p w:rsidR="0044465F" w:rsidRDefault="0044465F" w:rsidP="0044465F">
            <w:pPr>
              <w:jc w:val="both"/>
            </w:pPr>
            <w:r>
              <w:t>Boli zvažované nasledujúce a</w:t>
            </w:r>
            <w:r w:rsidR="00BA76DF">
              <w:t>lternatívne riešenia</w:t>
            </w:r>
            <w:r>
              <w:t xml:space="preserve"> navrhnuté v rámci konzultácií Slovak </w:t>
            </w:r>
            <w:proofErr w:type="spellStart"/>
            <w:r>
              <w:t>Busniess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>:</w:t>
            </w:r>
          </w:p>
          <w:p w:rsidR="0044465F" w:rsidRDefault="0044465F" w:rsidP="0044465F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Pr="004446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rušenie úhrad RTVS a 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</w:t>
            </w:r>
            <w:r w:rsidRPr="004446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nahradenie príspevkom zo štátneho rozpočt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4446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44465F" w:rsidRDefault="0044465F" w:rsidP="0044465F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zefektívnenie procesu výberu úhrad a vymáhania úhrad RTVS, spočívajúce </w:t>
            </w:r>
            <w:r w:rsidR="00BF0B4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zavedení jednorazového ročného vyúčtovania,</w:t>
            </w:r>
          </w:p>
          <w:p w:rsidR="0044465F" w:rsidRDefault="0044465F" w:rsidP="0044465F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zjednotenie kategorizácie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mikropodnikov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(do 10 zamestnancov) a ich oslobodenie od platenia úhrady RTVS,</w:t>
            </w:r>
          </w:p>
          <w:p w:rsidR="0044465F" w:rsidRDefault="0044465F" w:rsidP="0044465F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zavedenie alternatívneho/doplnkového mechanizmu výberu úhrad RTVS </w:t>
            </w:r>
            <w:r w:rsidR="00C35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založenom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model</w:t>
            </w:r>
            <w:r w:rsidR="00C35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35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výberu náhrad autorských odmien pri vytvorení rozmnoženiny autorského diela.</w:t>
            </w:r>
          </w:p>
          <w:p w:rsidR="00C35ECB" w:rsidRPr="00C35ECB" w:rsidRDefault="00C35ECB" w:rsidP="00C35ECB">
            <w:pPr>
              <w:jc w:val="both"/>
            </w:pPr>
            <w:r w:rsidRPr="00C35ECB">
              <w:t xml:space="preserve">Žiadne z vyššie uvedených alternatívnych riešení však nebolo pri príprave návrhu zákona aplikované, vzhľadom </w:t>
            </w:r>
            <w:r w:rsidR="00593635">
              <w:t xml:space="preserve">na </w:t>
            </w:r>
            <w:r w:rsidRPr="00C35ECB">
              <w:t>skutočnosť, že v prípade aplikácie</w:t>
            </w:r>
            <w:r>
              <w:t xml:space="preserve"> ktoréhokoľvek z nich,</w:t>
            </w:r>
            <w:r w:rsidRPr="00C35ECB">
              <w:t xml:space="preserve"> by nebolo možné dosiahnuť </w:t>
            </w:r>
            <w:r w:rsidR="00A102A1">
              <w:t>účel</w:t>
            </w:r>
            <w:r w:rsidRPr="00C35ECB">
              <w:t xml:space="preserve"> sledovaný navrhovanou právnou úpravou</w:t>
            </w:r>
            <w:r w:rsidR="00A102A1">
              <w:t>, keďže jedným z hlavných cieľov predloženého návrhu je zaviesť nezávislý, transparentný a flexibilný systém prehodnocovania úhrady za služby verejnosti poskytované RTVS, čo ani jedna z vyššie uvedených alternatív neobsahuje</w:t>
            </w:r>
            <w:r w:rsidRPr="00C35ECB">
              <w:t>.</w:t>
            </w:r>
          </w:p>
          <w:p w:rsidR="004C1CBC" w:rsidRPr="004C1CBC" w:rsidRDefault="00BA76DF" w:rsidP="003D77A1">
            <w:pPr>
              <w:jc w:val="both"/>
            </w:pPr>
            <w: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E248C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248C9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Default="003501A1" w:rsidP="007B71A4"/>
          <w:p w:rsidR="00037242" w:rsidRPr="00A179AE" w:rsidRDefault="00037242" w:rsidP="007B71A4">
            <w:bookmarkStart w:id="0" w:name="_GoBack"/>
            <w:bookmarkEnd w:id="0"/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0C6342" w:rsidRPr="00A179AE" w:rsidRDefault="000C6342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9931F5" w:rsidP="00BA76DF">
            <w:pPr>
              <w:jc w:val="both"/>
            </w:pPr>
            <w:r w:rsidRPr="009931F5">
              <w:t>Materiál sa netýka transpozície práva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037242" w:rsidRPr="00A179AE" w:rsidRDefault="00037242" w:rsidP="007B71A4">
            <w:pPr>
              <w:rPr>
                <w:i/>
              </w:rPr>
            </w:pPr>
          </w:p>
          <w:p w:rsidR="003501A1" w:rsidRPr="00EC4CD4" w:rsidRDefault="003501A1" w:rsidP="00BF0B43">
            <w:pPr>
              <w:jc w:val="both"/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037242" w:rsidRDefault="00037242" w:rsidP="00F22831"/>
          <w:p w:rsidR="003D77A1" w:rsidRDefault="003D77A1" w:rsidP="00F22831"/>
          <w:p w:rsidR="003D77A1" w:rsidRDefault="003D77A1" w:rsidP="00F22831"/>
          <w:p w:rsidR="003D77A1" w:rsidRPr="00A179AE" w:rsidRDefault="003D77A1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754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9754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9754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754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9754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3724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59754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3724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lastRenderedPageBreak/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8736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8736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8736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8736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8736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8736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8736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p w:rsidR="00A211DF" w:rsidRPr="00A179AE" w:rsidRDefault="00A211DF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787362" w:rsidRDefault="00787362">
            <w:pPr>
              <w:rPr>
                <w:i/>
              </w:rPr>
            </w:pPr>
          </w:p>
          <w:p w:rsidR="00787362" w:rsidRPr="00787362" w:rsidRDefault="00787362" w:rsidP="00A211DF">
            <w:r>
              <w:t xml:space="preserve">JUDr. </w:t>
            </w:r>
            <w:r w:rsidR="00B7477A">
              <w:t>Ivana Maláková</w:t>
            </w:r>
            <w:r>
              <w:t xml:space="preserve">, </w:t>
            </w:r>
            <w:r w:rsidR="00B7477A">
              <w:t xml:space="preserve">riaditeľka </w:t>
            </w:r>
            <w:r>
              <w:t>odbor</w:t>
            </w:r>
            <w:r w:rsidR="00B7477A">
              <w:t>u</w:t>
            </w:r>
            <w:r>
              <w:t xml:space="preserve"> mediálneho práva a audiovízie, </w:t>
            </w:r>
            <w:r w:rsidR="00B7477A">
              <w:t>ivana</w:t>
            </w:r>
            <w:r>
              <w:t>.</w:t>
            </w:r>
            <w:r w:rsidR="00B7477A">
              <w:t>malakova</w:t>
            </w:r>
            <w:r>
              <w:t xml:space="preserve">@culture.gov.sk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Default="004C1CBC" w:rsidP="007B71A4">
            <w:r>
              <w:t xml:space="preserve">Štatistické informácie, ktorými disponuje RTVS ako </w:t>
            </w:r>
            <w:r w:rsidR="00114B6A">
              <w:t>vyberateľ úhrady</w:t>
            </w:r>
            <w:r w:rsidR="004A1D65">
              <w:t>, údaje Ministerstva práce, sociálnych vecí a rodiny Slovenskej republiky a údaje Štatistického úradu Slovenskej republiky</w:t>
            </w:r>
            <w:r w:rsidR="00114B6A">
              <w:t>.</w:t>
            </w:r>
          </w:p>
          <w:p w:rsidR="004C1CBC" w:rsidRPr="004C1CBC" w:rsidRDefault="004C1CBC" w:rsidP="000C6342">
            <w:r>
              <w:t xml:space="preserve">Dokumenty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Broadcasting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 </w:t>
            </w:r>
            <w:r w:rsidR="000C6342">
              <w:t xml:space="preserve">(EBU) </w:t>
            </w:r>
            <w:r>
              <w:t xml:space="preserve">a Európskeho audiovizuálneho observatória (EAO).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</w:rPr>
              <w:t xml:space="preserve">Stála pracovná komisia na posudzovanie vybraných vplyvov vyjadruje 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  <w:r w:rsidRPr="00542ABB">
              <w:rPr>
                <w:b/>
                <w:bCs/>
              </w:rPr>
              <w:t>nesúhlasné stanovisko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</w:p>
          <w:p w:rsidR="003501A1" w:rsidRDefault="003501A1" w:rsidP="007B71A4">
            <w:pPr>
              <w:rPr>
                <w:b/>
              </w:rPr>
            </w:pPr>
          </w:p>
          <w:p w:rsidR="00542ABB" w:rsidRDefault="00542ABB" w:rsidP="007B71A4">
            <w:pPr>
              <w:rPr>
                <w:bCs/>
              </w:rPr>
            </w:pPr>
            <w:r w:rsidRPr="00542ABB">
              <w:t>Vyhodnotenie pripomienok Stálej</w:t>
            </w:r>
            <w:r>
              <w:rPr>
                <w:b/>
              </w:rPr>
              <w:t xml:space="preserve"> </w:t>
            </w:r>
            <w:r w:rsidRPr="00542ABB">
              <w:rPr>
                <w:bCs/>
              </w:rPr>
              <w:t>pracovn</w:t>
            </w:r>
            <w:r w:rsidR="00822FC1">
              <w:rPr>
                <w:bCs/>
              </w:rPr>
              <w:t>ej</w:t>
            </w:r>
            <w:r w:rsidRPr="00542ABB">
              <w:rPr>
                <w:bCs/>
              </w:rPr>
              <w:t xml:space="preserve"> komisi</w:t>
            </w:r>
            <w:r w:rsidR="00822FC1">
              <w:rPr>
                <w:bCs/>
              </w:rPr>
              <w:t>e</w:t>
            </w:r>
            <w:r w:rsidRPr="00542ABB">
              <w:rPr>
                <w:bCs/>
              </w:rPr>
              <w:t xml:space="preserve"> na posudzovanie vybraných vplyvov</w:t>
            </w:r>
            <w:r>
              <w:rPr>
                <w:bCs/>
              </w:rPr>
              <w:t>:</w:t>
            </w:r>
          </w:p>
          <w:p w:rsidR="00542ABB" w:rsidRDefault="00542ABB" w:rsidP="007B71A4">
            <w:pPr>
              <w:rPr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/>
                <w:bCs/>
              </w:rPr>
              <w:t>P</w:t>
            </w:r>
            <w:r w:rsidRPr="00542ABB">
              <w:rPr>
                <w:b/>
              </w:rPr>
              <w:t>r</w:t>
            </w:r>
            <w:r w:rsidRPr="00542ABB">
              <w:rPr>
                <w:b/>
                <w:bCs/>
              </w:rPr>
              <w:t>ipomienky a návrhy zm</w:t>
            </w:r>
            <w:r w:rsidRPr="00542ABB">
              <w:rPr>
                <w:b/>
              </w:rPr>
              <w:t>ie</w:t>
            </w:r>
            <w:r w:rsidRPr="00542ABB">
              <w:rPr>
                <w:b/>
                <w:bCs/>
              </w:rPr>
              <w:t xml:space="preserve">n: </w:t>
            </w:r>
            <w:r w:rsidRPr="00542ABB">
              <w:rPr>
                <w:bCs/>
              </w:rPr>
              <w:t>Komisia uplatňuje k materiálu nasledovné pripomienky a odporúčania: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542ABB">
              <w:rPr>
                <w:b/>
                <w:bCs/>
              </w:rPr>
              <w:t>K predkladacej správe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</w:rPr>
              <w:t xml:space="preserve">Komisia žiada zosúladiť znenie predkladacej správy a doložky vybraných vplyvov s analýzou vplyvov na rozpočet verejnej správy, na zamestnanosť vo verejnej správe a financovanie návrhu a vyznačiť pozitívne aj negatívne vplyvy na rozpočet verejnej správy. 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  <w:u w:val="single"/>
              </w:rPr>
              <w:t>Odôvodnenie:</w:t>
            </w:r>
            <w:r w:rsidRPr="00542ABB">
              <w:rPr>
                <w:bCs/>
              </w:rPr>
              <w:t xml:space="preserve"> v predkladacej správe je uvedené, že „návrh zákona nebude mať vplyv na rozpočet verejnej správy“, pričom v doložke vybraných vplyvov sú v tejto oblasti vyznačené žiadne vplyvy; v analýze vplyvov na rozpočet verejnej správy, na zamestnanosť vo verejnej správe a financovanie návrhu sú však uvedené príjmy, rovnako ako aj výdavky verejnej správy.</w:t>
            </w:r>
          </w:p>
          <w:p w:rsid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Pripomienka akceptovaná. </w:t>
            </w:r>
            <w:r w:rsidRPr="00542ABB">
              <w:rPr>
                <w:bCs/>
                <w:i/>
              </w:rPr>
              <w:t>Materiál upravený v zmysle pripomienky.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542ABB">
              <w:rPr>
                <w:b/>
                <w:bCs/>
              </w:rPr>
              <w:t>K doložke vybraných vplyvov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</w:rPr>
              <w:t>Komisia odporúča vyznačiť v doložke vybraných vplyvov aj pozitívne vplyvy na podnikateľské prostredie.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  <w:u w:val="single"/>
              </w:rPr>
              <w:t>Odôvodnenie:</w:t>
            </w:r>
            <w:r w:rsidRPr="00542ABB">
              <w:rPr>
                <w:bCs/>
              </w:rPr>
              <w:t xml:space="preserve"> v časti 3.3.3 analýzy vplyvov na podnikateľské prostredie „Administratívne náklady“ je uvedené: „Navrhuje sa odstránenie povinnosti zamestnávateľa preukazovať vyberateľovi úhrady zníženie počtu zamestnancov rozhodujúcich na určenie sadzby úhrady a bude stačiť, ak zamestnávateľ túto skutočnosť vyberateľovi úhrady len oznámi. ... Predpokladané zníženie nákladov na celé podnikateľské prostredie je minimálne 124 762“.</w:t>
            </w:r>
          </w:p>
          <w:p w:rsid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Pripomienka akceptovaná. </w:t>
            </w:r>
            <w:r w:rsidRPr="00542ABB">
              <w:rPr>
                <w:bCs/>
                <w:i/>
              </w:rPr>
              <w:t>Materiál upravený v zmysle pripomienky.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</w:rPr>
              <w:t>Komisia odporúča v časti 5 doložky vybraných vplyvov „Alternatívne riešenia“ uviesť dôvody, prečo by v prípade aplikácie ktoréhokoľvek z alternatívnych riešení nebolo možné dosiahnuť cieľ sledovaný navrhovanou právnou úpravou.</w:t>
            </w:r>
          </w:p>
          <w:p w:rsid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A102A1" w:rsidRPr="00542ABB" w:rsidRDefault="00A102A1" w:rsidP="00A102A1">
            <w:pPr>
              <w:tabs>
                <w:tab w:val="center" w:pos="6379"/>
              </w:tabs>
              <w:ind w:right="-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Pripomienka akceptovaná. Časť 5 doložky vybraných vplyvov bola doplnená</w:t>
            </w:r>
            <w:r w:rsidRPr="00542ABB">
              <w:rPr>
                <w:bCs/>
                <w:i/>
              </w:rPr>
              <w:t xml:space="preserve"> v zmysle pripomienky.</w:t>
            </w: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</w:rPr>
              <w:t>Komisia odporúča upraviť číselné hodnoty, najmä náklady na 1 podnikateľa – priame finančné náklady, v časti 3.3.4 analýzy vplyvov na podnikateľské prostredie „Súhrnná tabuľka nákladov regulácie“ v súlade s číselnými hodnotami uvedenými v tabuľke kategórií platiteľov a priamych finančných nákladov na 1 podnikateľa/zamestnávateľa, ktorá je uvedená rovnako v časti 3.3.4.</w:t>
            </w:r>
          </w:p>
          <w:p w:rsid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A102A1" w:rsidRPr="00542ABB" w:rsidRDefault="00A102A1" w:rsidP="00A102A1">
            <w:pPr>
              <w:tabs>
                <w:tab w:val="center" w:pos="6379"/>
              </w:tabs>
              <w:ind w:right="-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Pripomienka akceptovaná. „Súhrnná tabuľka nákladov regulácie“ bola upravená v zmysle pripomienky</w:t>
            </w:r>
            <w:r w:rsidRPr="00542ABB">
              <w:rPr>
                <w:bCs/>
                <w:i/>
              </w:rPr>
              <w:t>.</w:t>
            </w:r>
          </w:p>
          <w:p w:rsidR="00A102A1" w:rsidRPr="00542ABB" w:rsidRDefault="00A102A1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542ABB" w:rsidRP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542ABB">
              <w:rPr>
                <w:bCs/>
              </w:rPr>
              <w:t>Komisia odporúča vo všetkých relevantných častiach materiálu zdôrazniť, že vyčíslené administratívne a priame finančné náklady sa týkajú iba hodnôt, o ktoré by sa mali úhrady za služby verejnosti poskytované Rozhlasom a televíziou Slovenska zvýšiť na základe predloženého materiálu.</w:t>
            </w:r>
          </w:p>
          <w:p w:rsidR="00542ABB" w:rsidRDefault="00542ABB" w:rsidP="00542AB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A102A1" w:rsidRPr="00542ABB" w:rsidRDefault="00A102A1" w:rsidP="00A102A1">
            <w:pPr>
              <w:tabs>
                <w:tab w:val="center" w:pos="6379"/>
              </w:tabs>
              <w:ind w:right="-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Pripomienka akceptovaná. </w:t>
            </w:r>
            <w:r w:rsidRPr="00542ABB">
              <w:rPr>
                <w:bCs/>
                <w:i/>
              </w:rPr>
              <w:t>Materiál upravený v zmysle pripomienky.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C9" w:rsidRDefault="00E248C9" w:rsidP="003501A1">
      <w:r>
        <w:separator/>
      </w:r>
    </w:p>
  </w:endnote>
  <w:endnote w:type="continuationSeparator" w:id="0">
    <w:p w:rsidR="00E248C9" w:rsidRDefault="00E248C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986665"/>
      <w:docPartObj>
        <w:docPartGallery w:val="Page Numbers (Bottom of Page)"/>
        <w:docPartUnique/>
      </w:docPartObj>
    </w:sdtPr>
    <w:sdtEndPr/>
    <w:sdtContent>
      <w:p w:rsidR="00504A6A" w:rsidRDefault="00504A6A">
        <w:pPr>
          <w:pStyle w:val="Pta"/>
          <w:jc w:val="right"/>
        </w:pPr>
        <w:r w:rsidRPr="00504A6A">
          <w:rPr>
            <w:sz w:val="22"/>
            <w:szCs w:val="22"/>
          </w:rPr>
          <w:fldChar w:fldCharType="begin"/>
        </w:r>
        <w:r w:rsidRPr="00504A6A">
          <w:rPr>
            <w:sz w:val="22"/>
            <w:szCs w:val="22"/>
          </w:rPr>
          <w:instrText>PAGE   \* MERGEFORMAT</w:instrText>
        </w:r>
        <w:r w:rsidRPr="00504A6A">
          <w:rPr>
            <w:sz w:val="22"/>
            <w:szCs w:val="22"/>
          </w:rPr>
          <w:fldChar w:fldCharType="separate"/>
        </w:r>
        <w:r w:rsidR="000D5221">
          <w:rPr>
            <w:noProof/>
            <w:sz w:val="22"/>
            <w:szCs w:val="22"/>
          </w:rPr>
          <w:t>2</w:t>
        </w:r>
        <w:r w:rsidRPr="00504A6A">
          <w:rPr>
            <w:sz w:val="22"/>
            <w:szCs w:val="22"/>
          </w:rPr>
          <w:fldChar w:fldCharType="end"/>
        </w:r>
      </w:p>
    </w:sdtContent>
  </w:sdt>
  <w:p w:rsidR="00504A6A" w:rsidRDefault="00504A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C9" w:rsidRDefault="00E248C9" w:rsidP="003501A1">
      <w:r>
        <w:separator/>
      </w:r>
    </w:p>
  </w:footnote>
  <w:footnote w:type="continuationSeparator" w:id="0">
    <w:p w:rsidR="00E248C9" w:rsidRDefault="00E248C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919"/>
    <w:multiLevelType w:val="hybridMultilevel"/>
    <w:tmpl w:val="01A226DC"/>
    <w:lvl w:ilvl="0" w:tplc="61766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F96"/>
    <w:multiLevelType w:val="hybridMultilevel"/>
    <w:tmpl w:val="424847D4"/>
    <w:lvl w:ilvl="0" w:tplc="EA12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206"/>
    <w:multiLevelType w:val="hybridMultilevel"/>
    <w:tmpl w:val="E7BEF012"/>
    <w:lvl w:ilvl="0" w:tplc="EB8E6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1080"/>
    <w:multiLevelType w:val="hybridMultilevel"/>
    <w:tmpl w:val="5B72A0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4992"/>
    <w:multiLevelType w:val="hybridMultilevel"/>
    <w:tmpl w:val="AA364590"/>
    <w:lvl w:ilvl="0" w:tplc="C464DA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2DA8"/>
    <w:multiLevelType w:val="hybridMultilevel"/>
    <w:tmpl w:val="B4A471E4"/>
    <w:lvl w:ilvl="0" w:tplc="D1CC0A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92A4F"/>
    <w:multiLevelType w:val="hybridMultilevel"/>
    <w:tmpl w:val="79BA52E8"/>
    <w:lvl w:ilvl="0" w:tplc="CAF24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23614"/>
    <w:multiLevelType w:val="hybridMultilevel"/>
    <w:tmpl w:val="CCB85D1A"/>
    <w:lvl w:ilvl="0" w:tplc="6A0A84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FC4564D"/>
    <w:multiLevelType w:val="hybridMultilevel"/>
    <w:tmpl w:val="7EC81D52"/>
    <w:lvl w:ilvl="0" w:tplc="C2A821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762B"/>
    <w:rsid w:val="0001498E"/>
    <w:rsid w:val="00036A60"/>
    <w:rsid w:val="00037242"/>
    <w:rsid w:val="00095C85"/>
    <w:rsid w:val="000C6342"/>
    <w:rsid w:val="000D40AB"/>
    <w:rsid w:val="000D5221"/>
    <w:rsid w:val="00114B6A"/>
    <w:rsid w:val="0011693A"/>
    <w:rsid w:val="00125DB2"/>
    <w:rsid w:val="00175FD8"/>
    <w:rsid w:val="001A03B2"/>
    <w:rsid w:val="001A1559"/>
    <w:rsid w:val="00245BB2"/>
    <w:rsid w:val="00274E0D"/>
    <w:rsid w:val="00275F08"/>
    <w:rsid w:val="00283BFF"/>
    <w:rsid w:val="002914E7"/>
    <w:rsid w:val="002B482C"/>
    <w:rsid w:val="002D5959"/>
    <w:rsid w:val="003501A1"/>
    <w:rsid w:val="0035792C"/>
    <w:rsid w:val="003622E6"/>
    <w:rsid w:val="003878B7"/>
    <w:rsid w:val="00395098"/>
    <w:rsid w:val="003D2D3C"/>
    <w:rsid w:val="003D77A1"/>
    <w:rsid w:val="00402E27"/>
    <w:rsid w:val="00407A63"/>
    <w:rsid w:val="0044465F"/>
    <w:rsid w:val="0045465B"/>
    <w:rsid w:val="00476B3B"/>
    <w:rsid w:val="004A1D65"/>
    <w:rsid w:val="004C1CBC"/>
    <w:rsid w:val="004C60B8"/>
    <w:rsid w:val="004C794A"/>
    <w:rsid w:val="004E37E9"/>
    <w:rsid w:val="004F6F1F"/>
    <w:rsid w:val="004F7D6F"/>
    <w:rsid w:val="00504A6A"/>
    <w:rsid w:val="00512CA6"/>
    <w:rsid w:val="00533B8C"/>
    <w:rsid w:val="00534671"/>
    <w:rsid w:val="00542ABB"/>
    <w:rsid w:val="00553D55"/>
    <w:rsid w:val="00570B48"/>
    <w:rsid w:val="00582690"/>
    <w:rsid w:val="00593635"/>
    <w:rsid w:val="0059754C"/>
    <w:rsid w:val="005B7A8D"/>
    <w:rsid w:val="005E2D78"/>
    <w:rsid w:val="0060320D"/>
    <w:rsid w:val="006576E2"/>
    <w:rsid w:val="006C3B7D"/>
    <w:rsid w:val="006E66A2"/>
    <w:rsid w:val="007601B9"/>
    <w:rsid w:val="00787362"/>
    <w:rsid w:val="007B21EA"/>
    <w:rsid w:val="007D4863"/>
    <w:rsid w:val="00822FC1"/>
    <w:rsid w:val="00836638"/>
    <w:rsid w:val="008404EE"/>
    <w:rsid w:val="008E4D95"/>
    <w:rsid w:val="008F67DA"/>
    <w:rsid w:val="00936B10"/>
    <w:rsid w:val="009931F5"/>
    <w:rsid w:val="009D1849"/>
    <w:rsid w:val="009E39D3"/>
    <w:rsid w:val="009F0E20"/>
    <w:rsid w:val="00A102A1"/>
    <w:rsid w:val="00A211DF"/>
    <w:rsid w:val="00A374FD"/>
    <w:rsid w:val="00A40621"/>
    <w:rsid w:val="00A66F47"/>
    <w:rsid w:val="00A674C1"/>
    <w:rsid w:val="00AB1CA4"/>
    <w:rsid w:val="00AC2477"/>
    <w:rsid w:val="00B15791"/>
    <w:rsid w:val="00B65A86"/>
    <w:rsid w:val="00B7477A"/>
    <w:rsid w:val="00BA5061"/>
    <w:rsid w:val="00BA76DF"/>
    <w:rsid w:val="00BF0B43"/>
    <w:rsid w:val="00BF5D01"/>
    <w:rsid w:val="00C047C2"/>
    <w:rsid w:val="00C35ECB"/>
    <w:rsid w:val="00C37560"/>
    <w:rsid w:val="00CB3623"/>
    <w:rsid w:val="00CC401A"/>
    <w:rsid w:val="00CF3680"/>
    <w:rsid w:val="00D13B6F"/>
    <w:rsid w:val="00D41F84"/>
    <w:rsid w:val="00D42735"/>
    <w:rsid w:val="00D5053C"/>
    <w:rsid w:val="00D62AB3"/>
    <w:rsid w:val="00D75D35"/>
    <w:rsid w:val="00D90AAB"/>
    <w:rsid w:val="00DE2A12"/>
    <w:rsid w:val="00E111B4"/>
    <w:rsid w:val="00E248C9"/>
    <w:rsid w:val="00E61F57"/>
    <w:rsid w:val="00EB59E3"/>
    <w:rsid w:val="00EC4CD4"/>
    <w:rsid w:val="00ED5E85"/>
    <w:rsid w:val="00EF466C"/>
    <w:rsid w:val="00F03A3B"/>
    <w:rsid w:val="00F22831"/>
    <w:rsid w:val="00F5681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ých-vplyvov"/>
    <f:field ref="objsubject" par="" edit="true" text=""/>
    <f:field ref="objcreatedby" par="" text="Franková, Marta, JUDr."/>
    <f:field ref="objcreatedat" par="" text="23.5.2016 14:46:04"/>
    <f:field ref="objchangedby" par="" text="Administrator, System"/>
    <f:field ref="objmodifiedat" par="" text="23.5.2016 14:46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5E171A-88A7-48FE-990C-1C4C0592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Marta</dc:creator>
  <cp:lastModifiedBy>Franková Marta</cp:lastModifiedBy>
  <cp:revision>4</cp:revision>
  <dcterms:created xsi:type="dcterms:W3CDTF">2016-06-16T12:37:00Z</dcterms:created>
  <dcterms:modified xsi:type="dcterms:W3CDTF">2016-06-17T08:20:00Z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Marta Franková</vt:lpwstr>
  </property>
  <property fmtid="{D5CDD505-2E9C-101B-9397-08002B2CF9AE}" pid="12" name="FSC#SKEDITIONSLOVLEX@103.510:zodppredkladatel">
    <vt:lpwstr>Marek Maďarič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5" name="FSC#SKEDITIONSLOVLEX@103.510:nazovpredpis1">
    <vt:lpwstr> televízii Slovenska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>Ministerstvo kultúry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2016 - 2020</vt:lpwstr>
  </property>
  <property fmtid="{D5CDD505-2E9C-101B-9397-08002B2CF9AE}" pid="23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24" name="FSC#SKEDITIONSLOVLEX@103.510:plnynazovpredpis1">
    <vt:lpwstr>lase a televízii Slovenska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MK-1943/2016-231/6615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LP/2016/446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Európskych spoločenstiev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kultúry Slovenskej republiky</vt:lpwstr>
  </property>
  <property fmtid="{D5CDD505-2E9C-101B-9397-08002B2CF9AE}" pid="58" name="FSC#SKEDITIONSLOVLEX@103.510:AttrDateDocPropZaciatokPKK">
    <vt:lpwstr>16. 5. 2016</vt:lpwstr>
  </property>
  <property fmtid="{D5CDD505-2E9C-101B-9397-08002B2CF9AE}" pid="59" name="FSC#SKEDITIONSLOVLEX@103.510:AttrDateDocPropUkonceniePKK">
    <vt:lpwstr>20. 5. 2016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67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kultúry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kultúry Slovenskej republiky</vt:lpwstr>
  </property>
  <property fmtid="{D5CDD505-2E9C-101B-9397-08002B2CF9AE}" pid="142" name="FSC#SKEDITIONSLOVLEX@103.510:funkciaZodpPredAkuzativ">
    <vt:lpwstr>ministra kultúry Slovenskej republiky</vt:lpwstr>
  </property>
  <property fmtid="{D5CDD505-2E9C-101B-9397-08002B2CF9AE}" pid="143" name="FSC#SKEDITIONSLOVLEX@103.510:funkciaZodpPredDativ">
    <vt:lpwstr>ministrovi kultúry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Maďarič_x000d_
minister kultúry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50" name="FSC#COOSYSTEM@1.1:Container">
    <vt:lpwstr>COO.2145.1000.3.1421414</vt:lpwstr>
  </property>
  <property fmtid="{D5CDD505-2E9C-101B-9397-08002B2CF9AE}" pid="151" name="FSC#FSCFOLIO@1.1001:docpropproject">
    <vt:lpwstr/>
  </property>
</Properties>
</file>